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LEGAL ACT-BOOST REGEX AUDIT</w:t>
      </w:r>
    </w:p>
    <w:p>
      <w:pPr>
        <w:jc w:val="center"/>
      </w:pPr>
      <w:r>
        <w:rPr>
          <w:i/>
          <w:sz w:val="20"/>
        </w:rPr>
        <w:t>Final question-side anchors, passage-side strong markers, and false-positive controls</w:t>
      </w:r>
    </w:p>
    <w:p>
      <w:r>
        <w:t>Scope: audit of the 13 Act rows in the supplied machine-spec screenshot. This is a retrieval/ranking specification, not a statement that any matched Act applies to a case. The proposed patterns are deliberately more context-sensitive than ordinary keyword lists.</w:t>
      </w:r>
    </w:p>
    <w:p>
      <w:pPr>
        <w:pStyle w:val="Heading1"/>
      </w:pPr>
      <w:r>
        <w:t>Executive findings</w:t>
      </w:r>
    </w:p>
    <w:p>
      <w:pPr>
        <w:pStyle w:val="ListBullet"/>
      </w:pPr>
      <w:r>
        <w:rPr>
          <w:b/>
        </w:rPr>
        <w:t xml:space="preserve">High-risk false positives: </w:t>
      </w:r>
      <w:r>
        <w:t>Generic words and numbers are being treated as if they identify an Act: “order”, “protection”, “marital”, “minor”, “quantity”, “public servant”, “online”, “driving”, bare section numbers, and broad words such as “terror” or “money”. These occur in many unrelated judgments.</w:t>
      </w:r>
    </w:p>
    <w:p>
      <w:pPr>
        <w:pStyle w:val="ListBullet"/>
      </w:pPr>
      <w:r>
        <w:rPr>
          <w:b/>
        </w:rPr>
        <w:t xml:space="preserve">Over-broad DV anchors: </w:t>
      </w:r>
      <w:r>
        <w:t>The current DV question-side pattern appears to include generic “protection/residence order” and relationship words. “Marital”, “household”, “mother-in-law”, or “shared household” alone should not fire a boost without a domestic-violence / DV Act / relief context.</w:t>
      </w:r>
    </w:p>
    <w:p>
      <w:pPr>
        <w:pStyle w:val="ListBullet"/>
      </w:pPr>
      <w:r>
        <w:rPr>
          <w:b/>
        </w:rPr>
        <w:t xml:space="preserve">Over-broad NDPS anchors: </w:t>
      </w:r>
      <w:r>
        <w:t>Drug names such as “cocaine”, “heroin”, “ganja”, “opium” or “MDMA” can occur in ordinary criminal cases, forensic evidence, or a discussion of another law. Prefer an NDPS Act reference, a distinctive NDPS term, or drug + seizure/possession/quantity context.</w:t>
      </w:r>
    </w:p>
    <w:p>
      <w:pPr>
        <w:pStyle w:val="ListBullet"/>
      </w:pPr>
      <w:r>
        <w:rPr>
          <w:b/>
        </w:rPr>
        <w:t xml:space="preserve">Over-broad POCSO anchors: </w:t>
      </w:r>
      <w:r>
        <w:t>“Child”, “minor”, “girl”, “daughter”, “touch”, and “sexual” individually are not reliable. Require a sexual-offence context involving a child, or a POCSO / Protection of Children from Sexual Offences reference.</w:t>
      </w:r>
    </w:p>
    <w:p>
      <w:pPr>
        <w:pStyle w:val="ListBullet"/>
      </w:pPr>
      <w:r>
        <w:rPr>
          <w:b/>
        </w:rPr>
        <w:t xml:space="preserve">Section numbers are not Act identifiers: </w:t>
      </w:r>
      <w:r>
        <w:t>Bare numbers such as 12, 18, 19, 20, 22, 23, 138, 376, 420 or 66A are unsafe without the Act name or nearby distinctive context. The existing global rule correctly says bare section numbers are never markers.</w:t>
      </w:r>
    </w:p>
    <w:p>
      <w:pPr>
        <w:pStyle w:val="ListBullet"/>
      </w:pPr>
      <w:r>
        <w:rPr>
          <w:b/>
        </w:rPr>
        <w:t xml:space="preserve">Passage labels need stronger evidence: </w:t>
      </w:r>
      <w:r>
        <w:t>A label should require an Act title / recognised abbreviation, or a high-specificity statutory phrase in context. A generic word or a section number by itself must never count as a strong passage marker.</w:t>
      </w:r>
    </w:p>
    <w:p>
      <w:pPr>
        <w:pStyle w:val="ListBullet"/>
      </w:pPr>
      <w:r>
        <w:rPr>
          <w:b/>
        </w:rPr>
        <w:t xml:space="preserve">Version and legal-status hygiene: </w:t>
      </w:r>
      <w:r>
        <w:t>Do not surface Information Technology Act section 66A as a valid offence: the Supreme Court struck it down. It may be indexed only as historical/invalidated-law context and must be labelled accordingly.</w:t>
      </w:r>
    </w:p>
    <w:p>
      <w:pPr>
        <w:pStyle w:val="Heading1"/>
      </w:pPr>
      <w:r>
        <w:t>Global implementation rules</w:t>
      </w:r>
    </w:p>
    <w:p>
      <w:pPr>
        <w:pStyle w:val="ListBullet"/>
      </w:pPr>
      <w:r>
        <w:t>Case-insensitive matching is appropriate for ordinary words and Act names. Keep acronyms case-sensitive only where the source specification explicitly requires it (for example, ED, OTP, UPI, NCB, MDMA); do not accidentally make the whole pattern case-sensitive.</w:t>
      </w:r>
    </w:p>
    <w:p>
      <w:pPr>
        <w:pStyle w:val="ListBullet"/>
      </w:pPr>
      <w:r>
        <w:t>Use word boundaries around abbreviations and section labels. Avoid unbounded fragments such as “SC”, “IT”, “JJ”, “PC”, “NI”, “MV”, or “PMLA” that can match inside unrelated words.</w:t>
      </w:r>
    </w:p>
    <w:p>
      <w:pPr>
        <w:pStyle w:val="ListBullet"/>
      </w:pPr>
      <w:r>
        <w:t>Question-side anchors are for deciding which Act(s) the question concerns. Passage-side markers are a stricter, independent test for deciding whether a judgment passage is genuinely about that Act.</w:t>
      </w:r>
    </w:p>
    <w:p>
      <w:pPr>
        <w:pStyle w:val="ListBullet"/>
      </w:pPr>
      <w:r>
        <w:t>A question can concern multiple Acts. Do not force a single Act label when two distinct, supported anchors fire.</w:t>
      </w:r>
    </w:p>
    <w:p>
      <w:pPr>
        <w:pStyle w:val="ListBullet"/>
      </w:pPr>
      <w:r>
        <w:t>The passage label rule remains: label a judgment only when at least 3 passages contain a strong marker for that Act. Count passages, not repeated matches within one passage.</w:t>
      </w:r>
    </w:p>
    <w:p>
      <w:pPr>
        <w:pStyle w:val="ListBullet"/>
      </w:pPr>
      <w:r>
        <w:t>Keep broad everyday wording and secondary-marker/context tiers out of this test until they have separate evaluation evidence.</w:t>
      </w:r>
    </w:p>
    <w:p>
      <w:pPr>
        <w:pStyle w:val="ListBullet"/>
      </w:pPr>
      <w:r>
        <w:t>Do not count a generic section number, an Act number, a year, or a bare statutory word as a marker. Prefer title/abbreviation or distinctive phrase plus legal context.</w:t>
      </w:r>
    </w:p>
    <w:p>
      <w:pPr>
        <w:pStyle w:val="ListBullet"/>
      </w:pPr>
      <w:r>
        <w:t>Test every regex against both positive examples and hard negatives, including judgments that mention an Act only in passing, quote another case, list several statutes, or discuss a different offence.</w:t>
      </w:r>
    </w:p>
    <w:p>
      <w:pPr>
        <w:pStyle w:val="Heading1"/>
      </w:pPr>
      <w:r>
        <w:t>Act-by-Act final anchor list</w:t>
      </w:r>
    </w:p>
    <w:p>
      <w:r>
        <w:t>Regex strings below are proposed starting patterns. Validate them in the actual matching engine (Python/PCRE/JavaScript differ in details), and run the test suite described at the end before deploying. The question-side pattern may be broad enough to recognise a user’s plain-language description; the passage-side marker is intentionally stricter.</w:t>
      </w:r>
    </w:p>
    <w:p>
      <w:pPr>
        <w:pStyle w:val="Heading2"/>
      </w:pPr>
      <w:r>
        <w:t>Protection of Women from Domestic Violence Act, 2005</w:t>
      </w:r>
    </w:p>
    <w:p>
      <w:r>
        <w:rPr>
          <w:b/>
          <w:color w:val="9C0006"/>
        </w:rPr>
        <w:t xml:space="preserve">Risk rating: HIGH | </w:t>
      </w:r>
      <w:r>
        <w:t>False-positive anchors to remove or downgrade: Generic “protection order”, “residence order”, “marital”, “household”, “mother-in-law”, “husband”, “wife”, “shared household” or “domestic” alone. “DV” without boundaries can match unrelated text.</w:t>
      </w:r>
    </w:p>
    <w:p>
      <w:r>
        <w:rPr>
          <w:b/>
        </w:rPr>
        <w:t xml:space="preserve">Recommended question-side anchor (ANY match): </w:t>
      </w:r>
    </w:p>
    <w:p>
      <w:pPr>
        <w:spacing w:after="80"/>
        <w:ind w:left="259"/>
      </w:pPr>
      <w:r>
        <w:rPr>
          <w:rFonts w:ascii="Consolas" w:hAnsi="Consolas"/>
          <w:sz w:val="15"/>
        </w:rPr>
        <w:t>(?i)(?:\b(?:protection of women from domestic violence act|domestic violence act|PWDVA|DV Act)\b|\bdomestic violence\b|\b(?:aggrieved woman|protection officer|shared household|residence order|protection order|monetary relief|compensation order|interim or ex parte order)\b)</w:t>
      </w:r>
    </w:p>
    <w:p>
      <w:r>
        <w:rPr>
          <w:b/>
        </w:rPr>
        <w:t xml:space="preserve">Recommended passage-side strong marker: </w:t>
      </w:r>
    </w:p>
    <w:p>
      <w:pPr>
        <w:spacing w:after="80"/>
        <w:ind w:left="259"/>
      </w:pPr>
      <w:r>
        <w:rPr>
          <w:rFonts w:ascii="Consolas" w:hAnsi="Consolas"/>
          <w:sz w:val="15"/>
        </w:rPr>
        <w:t>(?i)(?:\b(?:Protection of Women from Domestic Violence Act|PWDVA|DV Act)\b|\b(?:section\s*(?:12|18|19|20|21|22|23|31)\s+of\s+(?:the\s+)?(?:Domestic Violence Act|PWDVA)\b|\bprotection officer\b|\baggrieved woman\b|\bshared household\b.{0,100}\b(?:residence|protection|monetary|compensation|ex parte)\s+order\b)</w:t>
      </w:r>
    </w:p>
    <w:p>
      <w:r>
        <w:rPr>
          <w:b/>
        </w:rPr>
        <w:t xml:space="preserve">Implementation note: </w:t>
      </w:r>
      <w:r>
        <w:t>Section 17 (right to reside in a shared household) is also a useful passage marker. Do not use sections 12/18/19/20/22/23 without tying them to this Act. “Domestic violence” alone can be a general description, so it is suitable as a question trigger but should not be the sole passage marker.</w:t>
      </w:r>
    </w:p>
    <w:p>
      <w:pPr>
        <w:pStyle w:val="Heading2"/>
      </w:pPr>
      <w:r>
        <w:t>Narcotic Drugs and Psychotropic Substances Act, 1985 (NDPS Act)</w:t>
      </w:r>
    </w:p>
    <w:p>
      <w:r>
        <w:rPr>
          <w:b/>
          <w:color w:val="9C0006"/>
        </w:rPr>
        <w:t xml:space="preserve">Risk rating: HIGH | </w:t>
      </w:r>
      <w:r>
        <w:t>False-positive anchors to remove or downgrade: Drug names alone (ganja, heroin, cocaine, MDMA, opium), “quantity”, “commercial”, “psychotropic”, or “narcotic” in isolation.</w:t>
      </w:r>
    </w:p>
    <w:p>
      <w:r>
        <w:rPr>
          <w:b/>
        </w:rPr>
        <w:t xml:space="preserve">Recommended question-side anchor (ANY match): </w:t>
      </w:r>
    </w:p>
    <w:p>
      <w:pPr>
        <w:spacing w:after="80"/>
        <w:ind w:left="259"/>
      </w:pPr>
      <w:r>
        <w:rPr>
          <w:rFonts w:ascii="Consolas" w:hAnsi="Consolas"/>
          <w:sz w:val="15"/>
        </w:rPr>
        <w:t>(?i)(?:\bNDPS(?:\s+Act)?\b|\bNarcotic Drugs and Psychotropic Substances Act\b|\b(?:commercial quantity|small quantity|intermediate quantity|conscious possession|psychotropic substance|narcotic drug)\b|\b(?:ganja|charas|heroin|cocaine|MDMA|methamphetamine|opium)\b.{0,100}\b(?:seiz(?:e|ed|ure)|possess(?:ion|ed)?|recovery|commercial quantity|NDPS)\b)</w:t>
      </w:r>
    </w:p>
    <w:p>
      <w:r>
        <w:rPr>
          <w:b/>
        </w:rPr>
        <w:t xml:space="preserve">Recommended passage-side strong marker: </w:t>
      </w:r>
    </w:p>
    <w:p>
      <w:pPr>
        <w:spacing w:after="80"/>
        <w:ind w:left="259"/>
      </w:pPr>
      <w:r>
        <w:rPr>
          <w:rFonts w:ascii="Consolas" w:hAnsi="Consolas"/>
          <w:sz w:val="15"/>
        </w:rPr>
        <w:t>(?i)(?:\bNDPS(?:\s+Act)?\b|\bNarcotic Drugs and Psychotropic Substances Act\b|\b(?:commercial quantity|conscious possession|Section\s*(?:20|21|22|27A|29|37)\s+of\s+the\s+NDPS Act)\b)</w:t>
      </w:r>
    </w:p>
    <w:p>
      <w:r>
        <w:rPr>
          <w:b/>
        </w:rPr>
        <w:t xml:space="preserve">Implementation note: </w:t>
      </w:r>
      <w:r>
        <w:t>A named drug plus seizure/possession/NDPS context is much safer than a drug-name-only trigger. Distinguish forensic/toxicology mentions from a prosecution under the NDPS Act.</w:t>
      </w:r>
    </w:p>
    <w:p>
      <w:pPr>
        <w:pStyle w:val="Heading2"/>
      </w:pPr>
      <w:r>
        <w:t>Protection of Children from Sexual Offences Act, 2012 (POCSO)</w:t>
      </w:r>
    </w:p>
    <w:p>
      <w:r>
        <w:rPr>
          <w:b/>
          <w:color w:val="9C0006"/>
        </w:rPr>
        <w:t xml:space="preserve">Risk rating: HIGH | </w:t>
      </w:r>
      <w:r>
        <w:t>False-positive anchors to remove or downgrade: “child”, “minor”, “girl”, “daughter”, “touch”, “molest”, “rape”, “sexual” or an age alone. These occur across criminal, family, custody and other cases.</w:t>
      </w:r>
    </w:p>
    <w:p>
      <w:r>
        <w:rPr>
          <w:b/>
        </w:rPr>
        <w:t xml:space="preserve">Recommended question-side anchor (ANY match): </w:t>
      </w:r>
    </w:p>
    <w:p>
      <w:pPr>
        <w:spacing w:after="80"/>
        <w:ind w:left="259"/>
      </w:pPr>
      <w:r>
        <w:rPr>
          <w:rFonts w:ascii="Consolas" w:hAnsi="Consolas"/>
          <w:sz w:val="15"/>
        </w:rPr>
        <w:t>(?i)(?:\bPOCSO(?:\s+Act)?\b|\bProtection of Children from Sexual Offences Act\b|\b(?:child sexual abuse|sexual assault of a child|sexual harassment of a child|penetrative sexual assault|aggravated penetrative sexual assault|special court under POCSO)\b|\b(?:sexual assault|sexual harassment|rape|molestation)\b.{0,100}\b(?:child|minor|below\s+18|under\s+18|POCSO)\b)</w:t>
      </w:r>
    </w:p>
    <w:p>
      <w:r>
        <w:rPr>
          <w:b/>
        </w:rPr>
        <w:t xml:space="preserve">Recommended passage-side strong marker: </w:t>
      </w:r>
    </w:p>
    <w:p>
      <w:pPr>
        <w:spacing w:after="80"/>
        <w:ind w:left="259"/>
      </w:pPr>
      <w:r>
        <w:rPr>
          <w:rFonts w:ascii="Consolas" w:hAnsi="Consolas"/>
          <w:sz w:val="15"/>
        </w:rPr>
        <w:t>(?i)(?:\bPOCSO(?:\s+Act)?\b|\bProtection of Children from Sexual Offences Act\b|\b(?:penetrative sexual assault|aggravated penetrative sexual assault|sexual assault|sexual harassment|special court)\b.{0,100}\b(?:child|minor|POCSO|Protection of Children from Sexual Offences Act)\b)</w:t>
      </w:r>
    </w:p>
    <w:p>
      <w:r>
        <w:rPr>
          <w:b/>
        </w:rPr>
        <w:t xml:space="preserve">Implementation note: </w:t>
      </w:r>
      <w:r>
        <w:t>The child/sexual-offence relationship should be explicit. Do not treat every sexual offence involving an adult, or every child-protection matter, as POCSO.</w:t>
      </w:r>
    </w:p>
    <w:p>
      <w:pPr>
        <w:pStyle w:val="Heading2"/>
      </w:pPr>
      <w:r>
        <w:t>Scheduled Castes and Scheduled Tribes (Prevention of Atrocities) Act, 1989</w:t>
      </w:r>
    </w:p>
    <w:p>
      <w:r>
        <w:rPr>
          <w:b/>
          <w:color w:val="9C0006"/>
        </w:rPr>
        <w:t xml:space="preserve">Risk rating: HIGH | </w:t>
      </w:r>
      <w:r>
        <w:t>False-positive anchors to remove or downgrade: “caste”, “tribal”, “insult”, “abuse”, “atrocity”, “Scheduled Caste” or “Scheduled Tribe” alone. These can appear in background or non-Atrocities Act contexts.</w:t>
      </w:r>
    </w:p>
    <w:p>
      <w:r>
        <w:rPr>
          <w:b/>
        </w:rPr>
        <w:t xml:space="preserve">Recommended question-side anchor (ANY match): </w:t>
      </w:r>
    </w:p>
    <w:p>
      <w:pPr>
        <w:spacing w:after="80"/>
        <w:ind w:left="259"/>
      </w:pPr>
      <w:r>
        <w:rPr>
          <w:rFonts w:ascii="Consolas" w:hAnsi="Consolas"/>
          <w:sz w:val="15"/>
        </w:rPr>
        <w:t>(?i)(?:\bSC\s*/?\s*ST\s*\(Prevention of Atrocities\)\s*Act\b|\bSC/ST Act\b|\bScheduled Castes and Scheduled Tribes \(Prevention of Atrocities\) Act\b|\b(?:atrocity case|special court under the SC/ST Act|caste-based abuse|intentional insult or intimidation)\b.{0,100}\b(?:SC|ST|Scheduled Caste|Scheduled Tribe|public view|SC/ST Act)\b)</w:t>
      </w:r>
    </w:p>
    <w:p>
      <w:r>
        <w:rPr>
          <w:b/>
        </w:rPr>
        <w:t xml:space="preserve">Recommended passage-side strong marker: </w:t>
      </w:r>
    </w:p>
    <w:p>
      <w:pPr>
        <w:spacing w:after="80"/>
        <w:ind w:left="259"/>
      </w:pPr>
      <w:r>
        <w:rPr>
          <w:rFonts w:ascii="Consolas" w:hAnsi="Consolas"/>
          <w:sz w:val="15"/>
        </w:rPr>
        <w:t>(?i)(?:\bSC\s*/?\s*ST\s*\(Prevention of Atrocities\)\s*Act\b|\bSC/ST Act\b|\bScheduled Castes and Scheduled Tribes \(Prevention of Atrocities\) Act\b|\bSection\s*3\s*\(\s*1\s*\)\s*\([a-z]\)\s+of\s+the\s+SC\s*/?\s*ST\s+Act\b)</w:t>
      </w:r>
    </w:p>
    <w:p>
      <w:r>
        <w:rPr>
          <w:b/>
        </w:rPr>
        <w:t xml:space="preserve">Implementation note: </w:t>
      </w:r>
      <w:r>
        <w:t>“Public view” and caste-based insult/intimidation may help only with SC/ST context; they are not strong markers on their own. Keep the full Act title as a reliable passage marker.</w:t>
      </w:r>
    </w:p>
    <w:p>
      <w:pPr>
        <w:pStyle w:val="Heading2"/>
      </w:pPr>
      <w:r>
        <w:t>Negotiable Instruments Act, 1881</w:t>
      </w:r>
    </w:p>
    <w:p>
      <w:r>
        <w:rPr>
          <w:b/>
          <w:color w:val="9C0006"/>
        </w:rPr>
        <w:t xml:space="preserve">Risk rating: HIGH | </w:t>
      </w:r>
      <w:r>
        <w:t>False-positive anchors to remove or downgrade: “cheque” alone, “bounce” alone, “dishonour” alone, “returned unpaid” alone, or section 138 alone. Cheques are discussed in civil, banking and other criminal proceedings too.</w:t>
      </w:r>
    </w:p>
    <w:p>
      <w:r>
        <w:rPr>
          <w:b/>
        </w:rPr>
        <w:t xml:space="preserve">Recommended question-side anchor (ANY match): </w:t>
      </w:r>
    </w:p>
    <w:p>
      <w:pPr>
        <w:spacing w:after="80"/>
        <w:ind w:left="259"/>
      </w:pPr>
      <w:r>
        <w:rPr>
          <w:rFonts w:ascii="Consolas" w:hAnsi="Consolas"/>
          <w:sz w:val="15"/>
        </w:rPr>
        <w:t>(?i)(?:\bNegotiable Instruments Act\b|\bNI Act\b|\bcheque\s+bounce\b|\bdishonou?r of cheque\b|\bSection\s*138\b.{0,80}\b(?:Negotiable Instruments Act|NI Act|cheque)\b|\bcheque\b.{0,100}\b(?:returned unpaid|statutory notice|demand notice|drawer|payee|Section\s*138)\b)</w:t>
      </w:r>
    </w:p>
    <w:p>
      <w:r>
        <w:rPr>
          <w:b/>
        </w:rPr>
        <w:t xml:space="preserve">Recommended passage-side strong marker: </w:t>
      </w:r>
    </w:p>
    <w:p>
      <w:pPr>
        <w:spacing w:after="80"/>
        <w:ind w:left="259"/>
      </w:pPr>
      <w:r>
        <w:rPr>
          <w:rFonts w:ascii="Consolas" w:hAnsi="Consolas"/>
          <w:sz w:val="15"/>
        </w:rPr>
        <w:t>(?i)(?:\bNegotiable Instruments Act\b|\bNI Act\b|\bSection\s*138\b.{0,80}\b(?:Negotiable Instruments Act|NI Act)\b|\bcomplaint under section\s*138\b|\bdishonou?r of cheque\b.{0,100}\b(?:statutory notice|legally enforceable debt|Negotiable Instruments Act)\b)</w:t>
      </w:r>
    </w:p>
    <w:p>
      <w:r>
        <w:rPr>
          <w:b/>
        </w:rPr>
        <w:t xml:space="preserve">Implementation note: </w:t>
      </w:r>
      <w:r>
        <w:t>Prefer “dishonour of cheque” with Section 138/NI Act context. Avoid relying on the abbreviation “NI” without a boundary and statutory context.</w:t>
      </w:r>
    </w:p>
    <w:p>
      <w:pPr>
        <w:pStyle w:val="Heading2"/>
      </w:pPr>
      <w:r>
        <w:t>Prevention of Money Laundering Act, 2002 (PMLA)</w:t>
      </w:r>
    </w:p>
    <w:p>
      <w:r>
        <w:rPr>
          <w:b/>
          <w:color w:val="9C0006"/>
        </w:rPr>
        <w:t xml:space="preserve">Risk rating: HIGH | </w:t>
      </w:r>
      <w:r>
        <w:t>False-positive anchors to remove or downgrade: “money”, “laundering”, “proceeds”, “attachment”, “freeze”, “ED”, “arrest” or “summons” alone. ED is especially ambiguous in non-legal text; acronym rules may require case-sensitive ED.</w:t>
      </w:r>
    </w:p>
    <w:p>
      <w:r>
        <w:rPr>
          <w:b/>
        </w:rPr>
        <w:t xml:space="preserve">Recommended question-side anchor (ANY match): </w:t>
      </w:r>
    </w:p>
    <w:p>
      <w:pPr>
        <w:spacing w:after="80"/>
        <w:ind w:left="259"/>
      </w:pPr>
      <w:r>
        <w:rPr>
          <w:rFonts w:ascii="Consolas" w:hAnsi="Consolas"/>
          <w:sz w:val="15"/>
        </w:rPr>
        <w:t>(?i)(?:\bPrevention of Money Laundering Act\b|\bPMLA\b|\bmoney laundering\b|\bproceeds of crime\b|\bprovisional attachment\b.{0,100}\b(?:PMLA|money laundering|proceeds of crime)\b|\bEnforcement Directorate\b.{0,100}\b(?:PMLA|money laundering|proceeds of crime|attachment)\b)</w:t>
      </w:r>
    </w:p>
    <w:p>
      <w:r>
        <w:rPr>
          <w:b/>
        </w:rPr>
        <w:t xml:space="preserve">Recommended passage-side strong marker: </w:t>
      </w:r>
    </w:p>
    <w:p>
      <w:pPr>
        <w:spacing w:after="80"/>
        <w:ind w:left="259"/>
      </w:pPr>
      <w:r>
        <w:rPr>
          <w:rFonts w:ascii="Consolas" w:hAnsi="Consolas"/>
          <w:sz w:val="15"/>
        </w:rPr>
        <w:t>(?i)(?:\bPrevention of Money Laundering Act\b|\bPMLA\b|\bproceeds of crime\b.{0,100}\b(?:scheduled offence|laundering|attachment|confiscation)\b|\bSection\s*(?:3|4|5|17|19|24|45|50)\s+of\s+the\s+PMLA\b)</w:t>
      </w:r>
    </w:p>
    <w:p>
      <w:r>
        <w:rPr>
          <w:b/>
        </w:rPr>
        <w:t xml:space="preserve">Implementation note: </w:t>
      </w:r>
      <w:r>
        <w:t>Use the Act name/PMLA or the distinctive statutory phrase “proceeds of crime” in legal context. “ED” should not be the sole strong marker.</w:t>
      </w:r>
    </w:p>
    <w:p>
      <w:pPr>
        <w:pStyle w:val="Heading2"/>
      </w:pPr>
      <w:r>
        <w:t>Unlawful Activities (Prevention) Act, 1967 (UAPA)</w:t>
      </w:r>
    </w:p>
    <w:p>
      <w:r>
        <w:rPr>
          <w:b/>
          <w:color w:val="9C0006"/>
        </w:rPr>
        <w:t xml:space="preserve">Risk rating: HIGH | </w:t>
      </w:r>
      <w:r>
        <w:t>False-positive anchors to remove or downgrade: “terror”, “terrorism”, “funding”, “organisation”, “banned group”, “unlawful activity” or “anti-terror” alone. These terms appear in general commentary and other laws.</w:t>
      </w:r>
    </w:p>
    <w:p>
      <w:r>
        <w:rPr>
          <w:b/>
        </w:rPr>
        <w:t xml:space="preserve">Recommended question-side anchor (ANY match): </w:t>
      </w:r>
    </w:p>
    <w:p>
      <w:pPr>
        <w:spacing w:after="80"/>
        <w:ind w:left="259"/>
      </w:pPr>
      <w:r>
        <w:rPr>
          <w:rFonts w:ascii="Consolas" w:hAnsi="Consolas"/>
          <w:sz w:val="15"/>
        </w:rPr>
        <w:t>(?i)(?:\bUAPA\b|\bUnlawful Activities \(Prevention\) Act\b|\bterrorist act\b.{0,100}\b(?:UAPA|unlawful activities|terrorist organisation|Section\s*43D)\b|\bterrorist organisation\b.{0,100}\b(?:UAPA|unlawful activities|membership|funding)\b|\bSection\s*43D\s*\(\s*5\s*\)\b)</w:t>
      </w:r>
    </w:p>
    <w:p>
      <w:r>
        <w:rPr>
          <w:b/>
        </w:rPr>
        <w:t xml:space="preserve">Recommended passage-side strong marker: </w:t>
      </w:r>
    </w:p>
    <w:p>
      <w:pPr>
        <w:spacing w:after="80"/>
        <w:ind w:left="259"/>
      </w:pPr>
      <w:r>
        <w:rPr>
          <w:rFonts w:ascii="Consolas" w:hAnsi="Consolas"/>
          <w:sz w:val="15"/>
        </w:rPr>
        <w:t>(?i)(?:\bUAPA\b|\bUnlawful Activities \(Prevention\) Act\b|\bterrorist act\b.{0,100}\b(?:UAPA|Section\s*15|Section\s*16)\b|\bSection\s*43D\s*\(\s*5\s*\)\b|\bterrorist organisation\b.{0,100}\b(?:UAPA|Schedule|membership)\b)</w:t>
      </w:r>
    </w:p>
    <w:p>
      <w:r>
        <w:rPr>
          <w:b/>
        </w:rPr>
        <w:t xml:space="preserve">Implementation note: </w:t>
      </w:r>
      <w:r>
        <w:t>“Terrorist act”, “terrorist organisation” and Section 43D(5) are more distinctive when tied to UAPA. Avoid a generic “terror” match.</w:t>
      </w:r>
    </w:p>
    <w:p>
      <w:pPr>
        <w:pStyle w:val="Heading2"/>
      </w:pPr>
      <w:r>
        <w:t>Dowry Prohibition Act, 1961</w:t>
      </w:r>
    </w:p>
    <w:p>
      <w:r>
        <w:rPr>
          <w:b/>
          <w:color w:val="9C0006"/>
        </w:rPr>
        <w:t xml:space="preserve">Risk rating: HIGH | </w:t>
      </w:r>
      <w:r>
        <w:t>False-positive anchors to remove or downgrade: “dowry” alone as a passage marker; it can be mentioned in IPC/BNS cruelty, matrimonial disputes, evidence, or a different statute without a charge under this Act.</w:t>
      </w:r>
    </w:p>
    <w:p>
      <w:r>
        <w:rPr>
          <w:b/>
        </w:rPr>
        <w:t xml:space="preserve">Recommended question-side anchor (ANY match): </w:t>
      </w:r>
    </w:p>
    <w:p>
      <w:pPr>
        <w:spacing w:after="80"/>
        <w:ind w:left="259"/>
      </w:pPr>
      <w:r>
        <w:rPr>
          <w:rFonts w:ascii="Consolas" w:hAnsi="Consolas"/>
          <w:sz w:val="15"/>
        </w:rPr>
        <w:t>(?i)(?:\bDowry Prohibition Act\b|\bDP Act\b|\bdowry\b.{0,100}\b(?:demand|giving|taking|agreement|Section\s*[34]|Dowry Prohibition Act)\b|\bSection\s*[34]\b.{0,80}\b(?:Dowry Prohibition Act|dowry demand|giving or taking dowry)\b)</w:t>
      </w:r>
    </w:p>
    <w:p>
      <w:r>
        <w:rPr>
          <w:b/>
        </w:rPr>
        <w:t xml:space="preserve">Recommended passage-side strong marker: </w:t>
      </w:r>
    </w:p>
    <w:p>
      <w:pPr>
        <w:spacing w:after="80"/>
        <w:ind w:left="259"/>
      </w:pPr>
      <w:r>
        <w:rPr>
          <w:rFonts w:ascii="Consolas" w:hAnsi="Consolas"/>
          <w:sz w:val="15"/>
        </w:rPr>
        <w:t>(?i)(?:\bDowry Prohibition Act\b|\bDP Act\b|\bSections?\s*[34]\s+of\s+the\s+Dowry Prohibition Act\b|\bprohibition of the giving or taking of dowry\b)</w:t>
      </w:r>
    </w:p>
    <w:p>
      <w:r>
        <w:rPr>
          <w:b/>
        </w:rPr>
        <w:t xml:space="preserve">Implementation note: </w:t>
      </w:r>
      <w:r>
        <w:t>A dowry allegation may be charged under another statute only; the passage marker should establish that this Act itself is being considered.</w:t>
      </w:r>
    </w:p>
    <w:p>
      <w:pPr>
        <w:pStyle w:val="Heading2"/>
      </w:pPr>
      <w:r>
        <w:t>Juvenile Justice (Care and Protection of Children) Act, 2015</w:t>
      </w:r>
    </w:p>
    <w:p>
      <w:r>
        <w:rPr>
          <w:b/>
          <w:color w:val="9C0006"/>
        </w:rPr>
        <w:t xml:space="preserve">Risk rating: HIGH | </w:t>
      </w:r>
      <w:r>
        <w:t>False-positive anchors to remove or downgrade: “juvenile”, “child”, “minor”, “arrest”, “police”, “theft”, “fight”, “crime” or “custody” alone. These are extremely common across case types.</w:t>
      </w:r>
    </w:p>
    <w:p>
      <w:r>
        <w:rPr>
          <w:b/>
        </w:rPr>
        <w:t xml:space="preserve">Recommended question-side anchor (ANY match): </w:t>
      </w:r>
    </w:p>
    <w:p>
      <w:pPr>
        <w:spacing w:after="80"/>
        <w:ind w:left="259"/>
      </w:pPr>
      <w:r>
        <w:rPr>
          <w:rFonts w:ascii="Consolas" w:hAnsi="Consolas"/>
          <w:sz w:val="15"/>
        </w:rPr>
        <w:t>(?i)(?:\bJuvenile Justice(?:\s*\(Care and Protection of Children\))?\s*Act\b|\bJJ Act\b|\bjuvenile justice board\b|\bchild in conflict with law\b|\bchild in need of care and protection\b|\bjuvenile\b.{0,100}\b(?:Juvenile Justice Act|board|observation home|place of safety|child in conflict with law)\b)</w:t>
      </w:r>
    </w:p>
    <w:p>
      <w:r>
        <w:rPr>
          <w:b/>
        </w:rPr>
        <w:t xml:space="preserve">Recommended passage-side strong marker: </w:t>
      </w:r>
    </w:p>
    <w:p>
      <w:pPr>
        <w:spacing w:after="80"/>
        <w:ind w:left="259"/>
      </w:pPr>
      <w:r>
        <w:rPr>
          <w:rFonts w:ascii="Consolas" w:hAnsi="Consolas"/>
          <w:sz w:val="15"/>
        </w:rPr>
        <w:t>(?i)(?:\bJuvenile Justice(?:\s*\(Care and Protection of Children\))?\s*Act\b|\bJJ Act\b|\bjuvenile justice board\b|\bchild in conflict with law\b|\bchild in need of care and protection\b|\bpreliminary assessment\b.{0,100}\bjuvenile justice\b)</w:t>
      </w:r>
    </w:p>
    <w:p>
      <w:r>
        <w:rPr>
          <w:b/>
        </w:rPr>
        <w:t xml:space="preserve">Implementation note: </w:t>
      </w:r>
      <w:r>
        <w:t>The formal Act name or specialised terms (“child in conflict with law”, Juvenile Justice Board) are strong signals. A child’s age alone is not.</w:t>
      </w:r>
    </w:p>
    <w:p>
      <w:pPr>
        <w:pStyle w:val="Heading2"/>
      </w:pPr>
      <w:r>
        <w:t>Prevention of Corruption Act, 1988</w:t>
      </w:r>
    </w:p>
    <w:p>
      <w:r>
        <w:rPr>
          <w:b/>
          <w:color w:val="9C0006"/>
        </w:rPr>
        <w:t xml:space="preserve">Risk rating: HIGH | </w:t>
      </w:r>
      <w:r>
        <w:t>False-positive anchors to remove or downgrade: “bribe”, “corruption”, “public servant”, “government officer”, “illegal gratification”, “disproportionate assets” or “money” alone. Corruption facts may be discussed under other provisions or as background.</w:t>
      </w:r>
    </w:p>
    <w:p>
      <w:r>
        <w:rPr>
          <w:b/>
        </w:rPr>
        <w:t xml:space="preserve">Recommended question-side anchor (ANY match): </w:t>
      </w:r>
    </w:p>
    <w:p>
      <w:pPr>
        <w:spacing w:after="80"/>
        <w:ind w:left="259"/>
      </w:pPr>
      <w:r>
        <w:rPr>
          <w:rFonts w:ascii="Consolas" w:hAnsi="Consolas"/>
          <w:sz w:val="15"/>
        </w:rPr>
        <w:t>(?i)(?:\bPrevention of Corruption Act\b|\bPC Act\b|\bdisproportionate assets\b.{0,100}\b(?:public servant|Prevention of Corruption Act|PC Act|check period|known sources of income)\b|\b(?:illegal gratification|undue advantage)\b.{0,100}\b(?:public servant|PC Act|Prevention of Corruption Act|trap case)\b|\btrap case\b.{0,100}\b(?:bribe|public servant|PC Act)\b)</w:t>
      </w:r>
    </w:p>
    <w:p>
      <w:r>
        <w:rPr>
          <w:b/>
        </w:rPr>
        <w:t xml:space="preserve">Recommended passage-side strong marker: </w:t>
      </w:r>
    </w:p>
    <w:p>
      <w:pPr>
        <w:spacing w:after="80"/>
        <w:ind w:left="259"/>
      </w:pPr>
      <w:r>
        <w:rPr>
          <w:rFonts w:ascii="Consolas" w:hAnsi="Consolas"/>
          <w:sz w:val="15"/>
        </w:rPr>
        <w:t>(?i)(?:\bPrevention of Corruption Act\b|\bPC Act\b|\bSection\s*(?:7|7A|13|17A|19)\s+of\s+the\s+(?:Prevention of Corruption|PC)\s+Act\b|\bdisproportionate assets\b.{0,100}\b(?:known sources of income|public servant|PC Act)\b)</w:t>
      </w:r>
    </w:p>
    <w:p>
      <w:r>
        <w:rPr>
          <w:b/>
        </w:rPr>
        <w:t xml:space="preserve">Implementation note: </w:t>
      </w:r>
      <w:r>
        <w:t>The current amended Section 13 and older case law may use different statutory formulations. Keep “disproportionate assets” tied to the Act/public-servant context and do not assume every such allegation falls under the same version of Section 13.</w:t>
      </w:r>
    </w:p>
    <w:p>
      <w:pPr>
        <w:pStyle w:val="Heading2"/>
      </w:pPr>
      <w:r>
        <w:t>Arms Act, 1959</w:t>
      </w:r>
    </w:p>
    <w:p>
      <w:r>
        <w:rPr>
          <w:b/>
          <w:color w:val="9C0006"/>
        </w:rPr>
        <w:t xml:space="preserve">Risk rating: HIGH | </w:t>
      </w:r>
      <w:r>
        <w:t>False-positive anchors to remove or downgrade: “arm”, “weapon”, “pistol”, “revolver”, “gun”, “country-made”, “cartridge” or “ammunition” alone; weapons may be discussed under other statutes and facts.</w:t>
      </w:r>
    </w:p>
    <w:p>
      <w:r>
        <w:rPr>
          <w:b/>
        </w:rPr>
        <w:t xml:space="preserve">Recommended question-side anchor (ANY match): </w:t>
      </w:r>
    </w:p>
    <w:p>
      <w:pPr>
        <w:spacing w:after="80"/>
        <w:ind w:left="259"/>
      </w:pPr>
      <w:r>
        <w:rPr>
          <w:rFonts w:ascii="Consolas" w:hAnsi="Consolas"/>
          <w:sz w:val="15"/>
        </w:rPr>
        <w:t>(?i)(?:\bArms Act\b|\bfirearm\b.{0,100}\b(?:licen[cs]e|possession|seizure|Arms Act|ammunition)\b|\b(?:pistol|revolver|country[- ]made gun|cartridges?|ammunition)\b.{0,100}\b(?:Arms Act|licen[cs]e|seiz(?:e|ed|ure)|possession)\b)</w:t>
      </w:r>
    </w:p>
    <w:p>
      <w:r>
        <w:rPr>
          <w:b/>
        </w:rPr>
        <w:t xml:space="preserve">Recommended passage-side strong marker: </w:t>
      </w:r>
    </w:p>
    <w:p>
      <w:pPr>
        <w:spacing w:after="80"/>
        <w:ind w:left="259"/>
      </w:pPr>
      <w:r>
        <w:rPr>
          <w:rFonts w:ascii="Consolas" w:hAnsi="Consolas"/>
          <w:sz w:val="15"/>
        </w:rPr>
        <w:t>(?i)(?:\bArms Act\b|\bArms Act,?\s*1959\b|\bSection\s*(?:25|27)\s+of\s+the\s+Arms Act\b|\bpossession of an unlicensed firearm\b|\bfirearm\b.{0,100}\b(?:licence|Arms Act|Section\s*25|Section\s*27)\b)</w:t>
      </w:r>
    </w:p>
    <w:p>
      <w:r>
        <w:rPr>
          <w:b/>
        </w:rPr>
        <w:t xml:space="preserve">Implementation note: </w:t>
      </w:r>
      <w:r>
        <w:t>A firearm in evidence is not enough to prove an Arms Act passage. Require the Act or licensing/possession language in statutory context.</w:t>
      </w:r>
    </w:p>
    <w:p>
      <w:pPr>
        <w:pStyle w:val="Heading2"/>
      </w:pPr>
      <w:r>
        <w:t>Information Technology Act, 2000</w:t>
      </w:r>
    </w:p>
    <w:p>
      <w:r>
        <w:rPr>
          <w:b/>
          <w:color w:val="9C0006"/>
        </w:rPr>
        <w:t xml:space="preserve">Risk rating: HIGH | </w:t>
      </w:r>
      <w:r>
        <w:t>False-positive anchors to remove or downgrade: “IT”, “cyber”, “hack”, “online”, “fraud”, “phishing”, “morphed”, “fake profile”, OTP or UPI alone. “IT Act” must be word-bounded and not confused with information technology in general.</w:t>
      </w:r>
    </w:p>
    <w:p>
      <w:r>
        <w:rPr>
          <w:b/>
        </w:rPr>
        <w:t xml:space="preserve">Recommended question-side anchor (ANY match): </w:t>
      </w:r>
    </w:p>
    <w:p>
      <w:pPr>
        <w:spacing w:after="80"/>
        <w:ind w:left="259"/>
      </w:pPr>
      <w:r>
        <w:rPr>
          <w:rFonts w:ascii="Consolas" w:hAnsi="Consolas"/>
          <w:sz w:val="15"/>
        </w:rPr>
        <w:t>(?i)(?:\bInformation Technology Act\b|\bIT Act\b|\bcyber(?:crime| fraud|stalking|harassment)\b.{0,100}\b(?:IT Act|Information Technology Act|computer resource|electronic record)\b|\b(?:identity theft|cheating by personation using computer resource|violation of privacy)\b|\bSection\s*66C\b|\bSection\s*66D\b|\bSection\s*67(?:B)?\b)</w:t>
      </w:r>
    </w:p>
    <w:p>
      <w:r>
        <w:rPr>
          <w:b/>
        </w:rPr>
        <w:t xml:space="preserve">Recommended passage-side strong marker: </w:t>
      </w:r>
    </w:p>
    <w:p>
      <w:pPr>
        <w:spacing w:after="80"/>
        <w:ind w:left="259"/>
      </w:pPr>
      <w:r>
        <w:rPr>
          <w:rFonts w:ascii="Consolas" w:hAnsi="Consolas"/>
          <w:sz w:val="15"/>
        </w:rPr>
        <w:t>(?i)(?:\bInformation Technology Act\b|\bIT Act\b|\bSection\s*(?:43|66C|66D|67|67B|69A|72)\s+of\s+the\s+Information Technology Act\b|\bcomputer resource\b.{0,100}\bInformation Technology Act\b)</w:t>
      </w:r>
    </w:p>
    <w:p>
      <w:r>
        <w:rPr>
          <w:b/>
        </w:rPr>
        <w:t xml:space="preserve">Implementation note: </w:t>
      </w:r>
      <w:r>
        <w:t>Section 66A must never be surfaced as a valid offence or a positive current-law trigger. If it appears in historical discussion, label it “struck down / historical reference”, not as a live offence.</w:t>
      </w:r>
    </w:p>
    <w:p>
      <w:pPr>
        <w:pStyle w:val="Heading2"/>
      </w:pPr>
      <w:r>
        <w:t>Motor Vehicles Act, 1988</w:t>
      </w:r>
    </w:p>
    <w:p>
      <w:r>
        <w:rPr>
          <w:b/>
          <w:color w:val="9C0006"/>
        </w:rPr>
        <w:t xml:space="preserve">Risk rating: HIGH | </w:t>
      </w:r>
      <w:r>
        <w:t>False-positive anchors to remove or downgrade: “driving”, “accident”, “rash”, “negligent”, “vehicle”, “licence”, “hit-and-run” or “drunk” alone. These can arise under criminal law, insurance and civil claims.</w:t>
      </w:r>
    </w:p>
    <w:p>
      <w:r>
        <w:rPr>
          <w:b/>
        </w:rPr>
        <w:t xml:space="preserve">Recommended question-side anchor (ANY match): </w:t>
      </w:r>
    </w:p>
    <w:p>
      <w:pPr>
        <w:spacing w:after="80"/>
        <w:ind w:left="259"/>
      </w:pPr>
      <w:r>
        <w:rPr>
          <w:rFonts w:ascii="Consolas" w:hAnsi="Consolas"/>
          <w:sz w:val="15"/>
        </w:rPr>
        <w:t>(?i)(?:\bMotor Vehicles Act\b|\bMV Act\b|\bSection\s*(?:185|184|3|181)\b.{0,100}\b(?:Motor Vehicles Act|MV Act|drunk driving|driving licence)\b|\bdrunk driving\b|\bdriving without a valid licence\b|\bvehicle\b.{0,100}\b(?:Motor Vehicles Act|MV Act|Section\s*185|Section\s*184|insurance claim under the MV Act)\b)</w:t>
      </w:r>
    </w:p>
    <w:p>
      <w:r>
        <w:rPr>
          <w:b/>
        </w:rPr>
        <w:t xml:space="preserve">Recommended passage-side strong marker: </w:t>
      </w:r>
    </w:p>
    <w:p>
      <w:pPr>
        <w:spacing w:after="80"/>
        <w:ind w:left="259"/>
      </w:pPr>
      <w:r>
        <w:rPr>
          <w:rFonts w:ascii="Consolas" w:hAnsi="Consolas"/>
          <w:sz w:val="15"/>
        </w:rPr>
        <w:t>(?i)(?:\bMotor Vehicles Act\b|\bMV Act\b|\bSection\s*(?:3|181|184|185|166|173)\s+of\s+the\s+Motor Vehicles Act\b|\bcompensation claim under the Motor Vehicles Act\b|\bdriving without a valid licence\b.{0,100}\bMotor Vehicles Act\b)</w:t>
      </w:r>
    </w:p>
    <w:p>
      <w:r>
        <w:rPr>
          <w:b/>
        </w:rPr>
        <w:t xml:space="preserve">Implementation note: </w:t>
      </w:r>
      <w:r>
        <w:t>Keep offence sections (e.g., 184/185) and compensation sections (e.g., 166/173) tied to the Act. An accident judgment may involve only IPC/BNS, insurance law or tort principles.</w:t>
      </w:r>
    </w:p>
    <w:p>
      <w:pPr>
        <w:pStyle w:val="Heading1"/>
      </w:pPr>
      <w:r>
        <w:t>Specific corrections to the supplied draft</w:t>
      </w:r>
    </w:p>
    <w:p>
      <w:pPr>
        <w:pStyle w:val="ListBullet"/>
      </w:pPr>
      <w:r>
        <w:rPr>
          <w:b/>
        </w:rPr>
        <w:t xml:space="preserve">Domestic Violence Act — </w:t>
      </w:r>
      <w:r>
        <w:t>Do not let “protection order” or “residence order” alone identify the Act. Tie them to DV/PWDVA, an aggrieved woman, a Protection Officer, or another distinctive statutory phrase. Include section 17 as a passage-side candidate because the Act expressly addresses the right to reside in a shared household.</w:t>
      </w:r>
    </w:p>
    <w:p>
      <w:pPr>
        <w:pStyle w:val="ListBullet"/>
      </w:pPr>
      <w:r>
        <w:rPr>
          <w:b/>
        </w:rPr>
        <w:t xml:space="preserve">NDPS — </w:t>
      </w:r>
      <w:r>
        <w:t>Replace standalone drug-name matching with either an NDPS/title anchor or drug + seizure/possession/quantity context. “MDMA” may be case-sensitive as required by the source specification; avoid making other terms case-sensitive by accident.</w:t>
      </w:r>
    </w:p>
    <w:p>
      <w:pPr>
        <w:pStyle w:val="ListBullet"/>
      </w:pPr>
      <w:r>
        <w:rPr>
          <w:b/>
        </w:rPr>
        <w:t xml:space="preserve">POCSO — </w:t>
      </w:r>
      <w:r>
        <w:t>Remove generic age patterns such as “child/minor/daughter/girl” as independent triggers. Make child status and a sexual-offence term co-occur, or use the Act title/POCSO.</w:t>
      </w:r>
    </w:p>
    <w:p>
      <w:pPr>
        <w:pStyle w:val="ListBullet"/>
      </w:pPr>
      <w:r>
        <w:rPr>
          <w:b/>
        </w:rPr>
        <w:t xml:space="preserve">SC/ST Act — </w:t>
      </w:r>
      <w:r>
        <w:t>Do not match “caste”, “insult”, “abuse” or “atrocity” independently. Require the Act name/SC-ST label or a context-rich statutory phrase.</w:t>
      </w:r>
    </w:p>
    <w:p>
      <w:pPr>
        <w:pStyle w:val="ListBullet"/>
      </w:pPr>
      <w:r>
        <w:rPr>
          <w:b/>
        </w:rPr>
        <w:t xml:space="preserve">Negotiable Instruments Act — </w:t>
      </w:r>
      <w:r>
        <w:t>Section 138 is not enough without NI Act/cheque context. Prefer “cheque bounce”, “dishonour of cheque”, statutory notice and legally enforceable debt in context.</w:t>
      </w:r>
    </w:p>
    <w:p>
      <w:pPr>
        <w:pStyle w:val="ListBullet"/>
      </w:pPr>
      <w:r>
        <w:rPr>
          <w:b/>
        </w:rPr>
        <w:t xml:space="preserve">PMLA — </w:t>
      </w:r>
      <w:r>
        <w:t>Downgrade standalone ED, attachment, arrest, summons, or proceeds. “Proceeds of crime” is distinctive but should be combined with laundering/attachment/scheduled-offence context for passage labeling.</w:t>
      </w:r>
    </w:p>
    <w:p>
      <w:pPr>
        <w:pStyle w:val="ListBullet"/>
      </w:pPr>
      <w:r>
        <w:rPr>
          <w:b/>
        </w:rPr>
        <w:t xml:space="preserve">UAPA — </w:t>
      </w:r>
      <w:r>
        <w:t>Remove generic “terror”, “funding”, “banned organisation” and “unlawful activities” as independent markers. The formal title, UAPA, Section 43D(5), terrorist act or terrorist organisation in statutory context are stronger.</w:t>
      </w:r>
    </w:p>
    <w:p>
      <w:pPr>
        <w:pStyle w:val="ListBullet"/>
      </w:pPr>
      <w:r>
        <w:rPr>
          <w:b/>
        </w:rPr>
        <w:t xml:space="preserve">Dowry Prohibition Act — </w:t>
      </w:r>
      <w:r>
        <w:t>The bare word “dowry” is too broad for a passage-side marker. Require the Act name or Sections 3/4 tied to the Act.</w:t>
      </w:r>
    </w:p>
    <w:p>
      <w:pPr>
        <w:pStyle w:val="ListBullet"/>
      </w:pPr>
      <w:r>
        <w:rPr>
          <w:b/>
        </w:rPr>
        <w:t xml:space="preserve">Juvenile Justice Act — </w:t>
      </w:r>
      <w:r>
        <w:t>Remove standalone “minor”, “child”, “arrest”, “theft”, “fight”, “crime” and “custody”. Use Juvenile Justice Board, child in conflict with law, child in need of care and protection, observation home, or the Act title.</w:t>
      </w:r>
    </w:p>
    <w:p>
      <w:pPr>
        <w:pStyle w:val="ListBullet"/>
      </w:pPr>
      <w:r>
        <w:rPr>
          <w:b/>
        </w:rPr>
        <w:t xml:space="preserve">Prevention of Corruption Act — </w:t>
      </w:r>
      <w:r>
        <w:t>Do not match “public servant”, “corruption”, “money” or “illegal gratification” alone. Use the Act name or a statutory offence phrase tied to public-servant/PC Act context. Keep in mind amendments change the applicable statutory wording.</w:t>
      </w:r>
    </w:p>
    <w:p>
      <w:pPr>
        <w:pStyle w:val="ListBullet"/>
      </w:pPr>
      <w:r>
        <w:rPr>
          <w:b/>
        </w:rPr>
        <w:t xml:space="preserve">Arms Act — </w:t>
      </w:r>
      <w:r>
        <w:t>Do not let generic weapon nouns fire a boost. Tie firearm/ammunition to licence, seizure, possession, Arms Act or a relevant section.</w:t>
      </w:r>
    </w:p>
    <w:p>
      <w:pPr>
        <w:pStyle w:val="ListBullet"/>
      </w:pPr>
      <w:r>
        <w:rPr>
          <w:b/>
        </w:rPr>
        <w:t xml:space="preserve">Information Technology Act — </w:t>
      </w:r>
      <w:r>
        <w:t>Do not use IT, online, cyber, OTP, UPI, fraud, phishing or fake profile alone. Treat Section 66A as invalidated, not as a valid current offence.</w:t>
      </w:r>
    </w:p>
    <w:p>
      <w:pPr>
        <w:pStyle w:val="ListBullet"/>
      </w:pPr>
      <w:r>
        <w:rPr>
          <w:b/>
        </w:rPr>
        <w:t xml:space="preserve">Motor Vehicles Act — </w:t>
      </w:r>
      <w:r>
        <w:t>Do not let driving, accident, rash/negligent, vehicle or licence alone fire a boost. Tie them to the Motor Vehicles Act or a specific MV Act offence/compensation provision.</w:t>
      </w:r>
    </w:p>
    <w:p>
      <w:pPr>
        <w:pStyle w:val="Heading1"/>
      </w:pPr>
      <w:r>
        <w:t>Evaluation protocol before enabling boosts</w:t>
      </w:r>
    </w:p>
    <w:p>
      <w:pPr>
        <w:pStyle w:val="ListNumber"/>
      </w:pPr>
      <w:r>
        <w:t>For every Act, prepare at least 25 positive questions in plain language, including misspellings, common abbreviations, and statute-specific legal terms.</w:t>
      </w:r>
    </w:p>
    <w:p>
      <w:pPr>
        <w:pStyle w:val="ListNumber"/>
      </w:pPr>
      <w:r>
        <w:t>Prepare at least 50 hard negatives per Act. Include the risky words listed above in cases that are actually about a different Act.</w:t>
      </w:r>
    </w:p>
    <w:p>
      <w:pPr>
        <w:pStyle w:val="ListNumber"/>
      </w:pPr>
      <w:r>
        <w:t>Include cross-Act cases: e.g., domestic cruelty without a DV Act claim; sexual offence involving an adult; drug recovery under a non-NDPS prosecution; firearm facts without an Arms Act charge; accident case under BNS/IPC without MV Act relief.</w:t>
      </w:r>
    </w:p>
    <w:p>
      <w:pPr>
        <w:pStyle w:val="ListNumber"/>
      </w:pPr>
      <w:r>
        <w:t>Measure question-trigger precision and recall separately from passage-marker precision and recall. The passage-marker threshold should prioritise precision because it multiplies ranking scores.</w:t>
      </w:r>
    </w:p>
    <w:p>
      <w:pPr>
        <w:pStyle w:val="ListNumber"/>
      </w:pPr>
      <w:r>
        <w:t>Inspect false positives at the passage level. A judgment that mentions the Act in a case citation or in a list of laws should not automatically count as three strong-marker passages.</w:t>
      </w:r>
    </w:p>
    <w:p>
      <w:pPr>
        <w:pStyle w:val="ListNumber"/>
      </w:pPr>
      <w:r>
        <w:t>Count distinct passages after normalisation, not number of regex matches. De-duplicate repeated header/footnote text and quoted copies of the same passage.</w:t>
      </w:r>
    </w:p>
    <w:p>
      <w:pPr>
        <w:pStyle w:val="ListNumber"/>
      </w:pPr>
      <w:r>
        <w:t>Log which exact regex fired and which passage(s) qualified. Make the boost explainable and easy to disable per Act.</w:t>
      </w:r>
    </w:p>
    <w:p>
      <w:pPr>
        <w:pStyle w:val="ListNumber"/>
      </w:pPr>
      <w:r>
        <w:t>Run regression tests whenever an anchor changes. A new anchor is not accepted until its added true positives and added false positives are reviewed.</w:t>
      </w:r>
    </w:p>
    <w:p>
      <w:pPr>
        <w:pStyle w:val="Heading1"/>
      </w:pPr>
      <w:r>
        <w:t>Reference sources reviewed</w:t>
      </w:r>
    </w:p>
    <w:p>
      <w:pPr>
        <w:pStyle w:val="ListBullet"/>
      </w:pPr>
      <w:r>
        <w:rPr>
          <w:b/>
        </w:rPr>
        <w:t xml:space="preserve">India Code — Protection of Women from Domestic Violence Act, 2005: </w:t>
      </w:r>
      <w:r>
        <w:t>https://www.indiacode.nic.in/handle/123456789/2021</w:t>
      </w:r>
    </w:p>
    <w:p>
      <w:pPr>
        <w:pStyle w:val="ListBullet"/>
      </w:pPr>
      <w:r>
        <w:rPr>
          <w:b/>
        </w:rPr>
        <w:t xml:space="preserve">India Code — Dowry Prohibition Act, 1961: </w:t>
      </w:r>
      <w:r>
        <w:t>https://www.indiacode.nic.in/indiacode/handle/123456789/1679?view_type=browse</w:t>
      </w:r>
    </w:p>
    <w:p>
      <w:pPr>
        <w:pStyle w:val="ListBullet"/>
      </w:pPr>
      <w:r>
        <w:rPr>
          <w:b/>
        </w:rPr>
        <w:t xml:space="preserve">India Code — Juvenile Justice (Care and Protection of Children) Act, 2015: </w:t>
      </w:r>
      <w:r>
        <w:t>https://www.indiacode.nic.in/indiacode/handle/123456789/2148?col=123456789%2F1362&amp;view_type=search</w:t>
      </w:r>
    </w:p>
    <w:p>
      <w:pPr>
        <w:pStyle w:val="ListBullet"/>
      </w:pPr>
      <w:r>
        <w:rPr>
          <w:b/>
        </w:rPr>
        <w:t xml:space="preserve">India Code — Unlawful Activities (Prevention) Act, 1967: </w:t>
      </w:r>
      <w:r>
        <w:t>https://www.indiacode.nic.in/handle/123456789/1470?sam_handle=123456789%2F1362</w:t>
      </w:r>
    </w:p>
    <w:p>
      <w:pPr>
        <w:pStyle w:val="ListBullet"/>
      </w:pPr>
      <w:r>
        <w:rPr>
          <w:b/>
        </w:rPr>
        <w:t xml:space="preserve">India Code — Scheduled Castes and Scheduled Tribes (Prevention of Atrocities) Act, 1989: </w:t>
      </w:r>
      <w:r>
        <w:t>https://www.indiacode.nic.in/indiacode/handle/123456789/1920?view_type=browse</w:t>
      </w:r>
    </w:p>
    <w:p>
      <w:pPr>
        <w:pStyle w:val="ListBullet"/>
      </w:pPr>
      <w:r>
        <w:rPr>
          <w:b/>
        </w:rPr>
        <w:t xml:space="preserve">India Code — Prevention of Corruption Act, 1988: </w:t>
      </w:r>
      <w:r>
        <w:t>https://www.indiacode.nic.in/handle/123456789/12894</w:t>
      </w:r>
    </w:p>
    <w:p>
      <w:pPr>
        <w:pStyle w:val="ListBullet"/>
      </w:pPr>
      <w:r>
        <w:rPr>
          <w:b/>
        </w:rPr>
        <w:t xml:space="preserve">India Code — Arms Act, 1959 (official PDF): </w:t>
      </w:r>
      <w:r>
        <w:t>https://www.indiacode.nic.in/bitstream/123456789/1398/1/A1959_54.pdf</w:t>
      </w:r>
    </w:p>
    <w:p>
      <w:pPr>
        <w:pStyle w:val="ListBullet"/>
      </w:pPr>
      <w:r>
        <w:rPr>
          <w:b/>
        </w:rPr>
        <w:t xml:space="preserve">Department of Revenue — Prevention of Money Laundering Act, 2002: </w:t>
      </w:r>
      <w:r>
        <w:t>https://www.dor.gov.in/prevention-money-laundering-act-2002</w:t>
      </w:r>
    </w:p>
    <w:p>
      <w:pPr>
        <w:pStyle w:val="ListBullet"/>
      </w:pPr>
      <w:r>
        <w:rPr>
          <w:b/>
        </w:rPr>
        <w:t xml:space="preserve">India Code — Unlawful Activities (Prevention) Act, 1967 (official PDF): </w:t>
      </w:r>
      <w:r>
        <w:t>https://www.indiacode.nic.in/bitstream/123456789/1470/1/a1967-37.pdf</w:t>
      </w:r>
    </w:p>
    <w:p>
      <w:r>
        <w:t>Research limitation: this audit uses the screenshot’s listed 13 Acts and official India Code / Government sources for statutory names and concepts. The proposed regexes are engineering recommendations, not empirically benchmarked results. They should be treated as candidate patterns until tested against the project’s judgment corpus.</w:t>
      </w:r>
    </w:p>
    <w:p>
      <w:r>
        <w:br w:type="page"/>
      </w:r>
    </w:p>
    <w:p>
      <w:pPr>
        <w:pStyle w:val="Heading1"/>
      </w:pPr>
      <w:r>
        <w:t>Supplement: Critical review of proposed additional anchors</w:t>
      </w:r>
    </w:p>
    <w:p>
      <w:r>
        <w:t>Decision summary: include most of the proposed terms, but not as standalone strong markers. Some are statutory concepts, some are common investigative language, and some are highly generic. The safest design is to let context-rich combinations trigger the question-side Act selection, while requiring a statute name, distinctive statutory phrase, or tightly linked legal context for passage-side strong markers.</w:t>
      </w:r>
    </w:p>
    <w:p>
      <w:pPr>
        <w:pStyle w:val="Heading2"/>
      </w:pPr>
      <w:r>
        <w:t>A. Prevention of Corruption Act, 1988</w:t>
      </w:r>
    </w:p>
    <w:p>
      <w:r>
        <w:t>Official statutory context: Section 17 concerns persons authorised to investigate; Section 17A concerns prior approval for an enquiry/inquiry/investigation into certain alleged offences related to a public servant’s recommendation or decision in official functions/duties; Section 19 concerns previous sanction necessary for prosecution. These section numbers are relevant, but must be tied to the Prevention of Corruption Act / PC Act.</w:t>
      </w:r>
    </w:p>
    <w:tbl>
      <w:tblPr>
        <w:tblStyle w:val="LightShading-Accent1"/>
        <w:tblW w:type="auto" w:w="0"/>
        <w:tblLook w:firstColumn="1" w:firstRow="1" w:lastColumn="0" w:lastRow="0" w:noHBand="0" w:noVBand="1" w:val="04A0"/>
      </w:tblPr>
      <w:tblGrid>
        <w:gridCol w:w="3485"/>
        <w:gridCol w:w="3485"/>
        <w:gridCol w:w="3485"/>
      </w:tblGrid>
      <w:tr>
        <w:tc>
          <w:tcPr>
            <w:tcW w:type="dxa" w:w="3485"/>
          </w:tcPr>
          <w:p>
            <w:r>
              <w:t>Proposed term</w:t>
            </w:r>
          </w:p>
        </w:tc>
        <w:tc>
          <w:tcPr>
            <w:tcW w:type="dxa" w:w="3485"/>
          </w:tcPr>
          <w:p>
            <w:r>
              <w:t>Decision</w:t>
            </w:r>
          </w:p>
        </w:tc>
        <w:tc>
          <w:tcPr>
            <w:tcW w:type="dxa" w:w="3485"/>
          </w:tcPr>
          <w:p>
            <w:r>
              <w:t>Reason / safeguard</w:t>
            </w:r>
          </w:p>
        </w:tc>
      </w:tr>
      <w:tr>
        <w:tc>
          <w:tcPr>
            <w:tcW w:type="dxa" w:w="3485"/>
            <w:vAlign w:val="center"/>
          </w:tcPr>
          <w:p>
            <w:r>
              <w:t>Section 17</w:t>
            </w:r>
          </w:p>
        </w:tc>
        <w:tc>
          <w:tcPr>
            <w:tcW w:type="dxa" w:w="3485"/>
            <w:vAlign w:val="center"/>
          </w:tcPr>
          <w:p>
            <w:r>
              <w:t>INCLUDE WITH CONTEXT</w:t>
            </w:r>
          </w:p>
        </w:tc>
        <w:tc>
          <w:tcPr>
            <w:tcW w:type="dxa" w:w="3485"/>
            <w:vAlign w:val="center"/>
          </w:tcPr>
          <w:p>
            <w:r>
              <w:t>Useful where paired with “persons authorised to investigate”, investigating-officer rank, or PC Act. Bare “Section 17” is unsafe.</w:t>
            </w:r>
          </w:p>
        </w:tc>
      </w:tr>
      <w:tr>
        <w:tc>
          <w:tcPr>
            <w:tcW w:type="dxa" w:w="3485"/>
            <w:vAlign w:val="center"/>
          </w:tcPr>
          <w:p>
            <w:r>
              <w:t>Section 17A</w:t>
            </w:r>
          </w:p>
        </w:tc>
        <w:tc>
          <w:tcPr>
            <w:tcW w:type="dxa" w:w="3485"/>
            <w:vAlign w:val="center"/>
          </w:tcPr>
          <w:p>
            <w:r>
              <w:t>INCLUDE — HIGH VALUE</w:t>
            </w:r>
          </w:p>
        </w:tc>
        <w:tc>
          <w:tcPr>
            <w:tcW w:type="dxa" w:w="3485"/>
            <w:vAlign w:val="center"/>
          </w:tcPr>
          <w:p>
            <w:r>
              <w:t>Distinctive statutory reference. Pair with prior approval and enquiry/inquiry/investigation linked to a public servant’s official recommendation/decision.</w:t>
            </w:r>
          </w:p>
        </w:tc>
      </w:tr>
      <w:tr>
        <w:tc>
          <w:tcPr>
            <w:tcW w:type="dxa" w:w="3485"/>
            <w:vAlign w:val="center"/>
          </w:tcPr>
          <w:p>
            <w:r>
              <w:t>Mandatory approval</w:t>
            </w:r>
          </w:p>
        </w:tc>
        <w:tc>
          <w:tcPr>
            <w:tcW w:type="dxa" w:w="3485"/>
            <w:vAlign w:val="center"/>
          </w:tcPr>
          <w:p>
            <w:r>
              <w:t>INCLUDE WITH CONTEXT</w:t>
            </w:r>
          </w:p>
        </w:tc>
        <w:tc>
          <w:tcPr>
            <w:tcW w:type="dxa" w:w="3485"/>
            <w:vAlign w:val="center"/>
          </w:tcPr>
          <w:p>
            <w:r>
              <w:t>Generic phrase. Use with Section 17A, prior approval, PC Act, or enquiry/investigation of an official decision; not standalone.</w:t>
            </w:r>
          </w:p>
        </w:tc>
      </w:tr>
      <w:tr>
        <w:tc>
          <w:tcPr>
            <w:tcW w:type="dxa" w:w="3485"/>
            <w:vAlign w:val="center"/>
          </w:tcPr>
          <w:p>
            <w:r>
              <w:t>Demand</w:t>
            </w:r>
          </w:p>
        </w:tc>
        <w:tc>
          <w:tcPr>
            <w:tcW w:type="dxa" w:w="3485"/>
            <w:vAlign w:val="center"/>
          </w:tcPr>
          <w:p>
            <w:r>
              <w:t>INCLUDE WITH STRONG CONTEXT ONLY</w:t>
            </w:r>
          </w:p>
        </w:tc>
        <w:tc>
          <w:tcPr>
            <w:tcW w:type="dxa" w:w="3485"/>
            <w:vAlign w:val="center"/>
          </w:tcPr>
          <w:p>
            <w:r>
              <w:t>Important in bribery cases, but extremely common. Pair with demand for undue advantage/gratification, bribe, public servant, trap, acceptance, or PC Act.</w:t>
            </w:r>
          </w:p>
        </w:tc>
      </w:tr>
      <w:tr>
        <w:tc>
          <w:tcPr>
            <w:tcW w:type="dxa" w:w="3485"/>
            <w:vAlign w:val="center"/>
          </w:tcPr>
          <w:p>
            <w:r>
              <w:t>Acceptance</w:t>
            </w:r>
          </w:p>
        </w:tc>
        <w:tc>
          <w:tcPr>
            <w:tcW w:type="dxa" w:w="3485"/>
            <w:vAlign w:val="center"/>
          </w:tcPr>
          <w:p>
            <w:r>
              <w:t>INCLUDE WITH STRONG CONTEXT ONLY</w:t>
            </w:r>
          </w:p>
        </w:tc>
        <w:tc>
          <w:tcPr>
            <w:tcW w:type="dxa" w:w="3485"/>
            <w:vAlign w:val="center"/>
          </w:tcPr>
          <w:p>
            <w:r>
              <w:t>Common word. Pair with acceptance of undue advantage/gratification or bribe, a public servant, or Section 20/PC Act context.</w:t>
            </w:r>
          </w:p>
        </w:tc>
      </w:tr>
      <w:tr>
        <w:tc>
          <w:tcPr>
            <w:tcW w:type="dxa" w:w="3485"/>
            <w:vAlign w:val="center"/>
          </w:tcPr>
          <w:p>
            <w:r>
              <w:t>Intermediary</w:t>
            </w:r>
          </w:p>
        </w:tc>
        <w:tc>
          <w:tcPr>
            <w:tcW w:type="dxa" w:w="3485"/>
            <w:vAlign w:val="center"/>
          </w:tcPr>
          <w:p>
            <w:r>
              <w:t>INCLUDE WITH CONTEXT</w:t>
            </w:r>
          </w:p>
        </w:tc>
        <w:tc>
          <w:tcPr>
            <w:tcW w:type="dxa" w:w="3485"/>
            <w:vAlign w:val="center"/>
          </w:tcPr>
          <w:p>
            <w:r>
              <w:t>Not a reliable standalone PC Act marker. Pair with a person acting as a conduit/intermediary in a bribery or undue-advantage transaction.</w:t>
            </w:r>
          </w:p>
        </w:tc>
      </w:tr>
      <w:tr>
        <w:tc>
          <w:tcPr>
            <w:tcW w:type="dxa" w:w="3485"/>
            <w:vAlign w:val="center"/>
          </w:tcPr>
          <w:p>
            <w:r>
              <w:t>Enquiry / inquiry</w:t>
            </w:r>
          </w:p>
        </w:tc>
        <w:tc>
          <w:tcPr>
            <w:tcW w:type="dxa" w:w="3485"/>
            <w:vAlign w:val="center"/>
          </w:tcPr>
          <w:p>
            <w:r>
              <w:t>INCLUDE WITH CONTEXT</w:t>
            </w:r>
          </w:p>
        </w:tc>
        <w:tc>
          <w:tcPr>
            <w:tcW w:type="dxa" w:w="3485"/>
            <w:vAlign w:val="center"/>
          </w:tcPr>
          <w:p>
            <w:r>
              <w:t>Generic procedural terms. Useful when linked to Section 17A, prior approval, or PC Act. Avoid standalone matching.</w:t>
            </w:r>
          </w:p>
        </w:tc>
      </w:tr>
      <w:tr>
        <w:tc>
          <w:tcPr>
            <w:tcW w:type="dxa" w:w="3485"/>
            <w:vAlign w:val="center"/>
          </w:tcPr>
          <w:p>
            <w:r>
              <w:t>Preliminary enquiry</w:t>
            </w:r>
          </w:p>
        </w:tc>
        <w:tc>
          <w:tcPr>
            <w:tcW w:type="dxa" w:w="3485"/>
            <w:vAlign w:val="center"/>
          </w:tcPr>
          <w:p>
            <w:r>
              <w:t>INCLUDE WITH CONTEXT</w:t>
            </w:r>
          </w:p>
        </w:tc>
        <w:tc>
          <w:tcPr>
            <w:tcW w:type="dxa" w:w="3485"/>
            <w:vAlign w:val="center"/>
          </w:tcPr>
          <w:p>
            <w:r>
              <w:t>Useful in corruption-investigation narratives, but occurs in many legal contexts. Pair with PC Act, Section 17A, public servant, or approval before inquiry.</w:t>
            </w:r>
          </w:p>
        </w:tc>
      </w:tr>
      <w:tr>
        <w:tc>
          <w:tcPr>
            <w:tcW w:type="dxa" w:w="3485"/>
            <w:vAlign w:val="center"/>
          </w:tcPr>
          <w:p>
            <w:r>
              <w:t>Official duty</w:t>
            </w:r>
          </w:p>
        </w:tc>
        <w:tc>
          <w:tcPr>
            <w:tcW w:type="dxa" w:w="3485"/>
            <w:vAlign w:val="center"/>
          </w:tcPr>
          <w:p>
            <w:r>
              <w:t>INCLUDE WITH CONTEXT</w:t>
            </w:r>
          </w:p>
        </w:tc>
        <w:tc>
          <w:tcPr>
            <w:tcW w:type="dxa" w:w="3485"/>
            <w:vAlign w:val="center"/>
          </w:tcPr>
          <w:p>
            <w:r>
              <w:t>Generic. Valuable when tied to Section 17A and a recommendation/decision made in discharge of official functions or duties.</w:t>
            </w:r>
          </w:p>
        </w:tc>
      </w:tr>
      <w:tr>
        <w:tc>
          <w:tcPr>
            <w:tcW w:type="dxa" w:w="3485"/>
            <w:vAlign w:val="center"/>
          </w:tcPr>
          <w:p>
            <w:r>
              <w:t>Pending work</w:t>
            </w:r>
          </w:p>
        </w:tc>
        <w:tc>
          <w:tcPr>
            <w:tcW w:type="dxa" w:w="3485"/>
            <w:vAlign w:val="center"/>
          </w:tcPr>
          <w:p>
            <w:r>
              <w:t>INCLUDE AS A QUESTION-SIDE PHRASE ONLY, WITH CONTEXT</w:t>
            </w:r>
          </w:p>
        </w:tc>
        <w:tc>
          <w:tcPr>
            <w:tcW w:type="dxa" w:w="3485"/>
            <w:vAlign w:val="center"/>
          </w:tcPr>
          <w:p>
            <w:r>
              <w:t>May describe a bribery demand for doing or expediting official work, but is not a statutory marker. Pair with demand/bribe/undue advantage/public servant.</w:t>
            </w:r>
          </w:p>
        </w:tc>
      </w:tr>
      <w:tr>
        <w:tc>
          <w:tcPr>
            <w:tcW w:type="dxa" w:w="3485"/>
            <w:vAlign w:val="center"/>
          </w:tcPr>
          <w:p>
            <w:r>
              <w:t>Abettor</w:t>
            </w:r>
          </w:p>
        </w:tc>
        <w:tc>
          <w:tcPr>
            <w:tcW w:type="dxa" w:w="3485"/>
            <w:vAlign w:val="center"/>
          </w:tcPr>
          <w:p>
            <w:r>
              <w:t>INCLUDE WITH CONTEXT</w:t>
            </w:r>
          </w:p>
        </w:tc>
        <w:tc>
          <w:tcPr>
            <w:tcW w:type="dxa" w:w="3485"/>
            <w:vAlign w:val="center"/>
          </w:tcPr>
          <w:p>
            <w:r>
              <w:t>The Act expressly addresses abetment (including Section 12). But “abettor” appears across criminal law. Pair with PC Act, Section 12, or abetment of a PC Act offence.</w:t>
            </w:r>
          </w:p>
        </w:tc>
      </w:tr>
      <w:tr>
        <w:tc>
          <w:tcPr>
            <w:tcW w:type="dxa" w:w="3485"/>
            <w:vAlign w:val="center"/>
          </w:tcPr>
          <w:p>
            <w:r>
              <w:t>Prosecution sanction / sanction</w:t>
            </w:r>
          </w:p>
        </w:tc>
        <w:tc>
          <w:tcPr>
            <w:tcW w:type="dxa" w:w="3485"/>
            <w:vAlign w:val="center"/>
          </w:tcPr>
          <w:p>
            <w:r>
              <w:t>INCLUDE WITH CONTEXT</w:t>
            </w:r>
          </w:p>
        </w:tc>
        <w:tc>
          <w:tcPr>
            <w:tcW w:type="dxa" w:w="3485"/>
            <w:vAlign w:val="center"/>
          </w:tcPr>
          <w:p>
            <w:r>
              <w:t>Section 19 makes previous sanction a high-value topic. “Sanction” alone is very broad. Pair with prosecution, public servant, Section 19, or PC Act.</w:t>
            </w:r>
          </w:p>
        </w:tc>
      </w:tr>
      <w:tr>
        <w:tc>
          <w:tcPr>
            <w:tcW w:type="dxa" w:w="3485"/>
            <w:vAlign w:val="center"/>
          </w:tcPr>
          <w:p>
            <w:r>
              <w:t>Section 19</w:t>
            </w:r>
          </w:p>
        </w:tc>
        <w:tc>
          <w:tcPr>
            <w:tcW w:type="dxa" w:w="3485"/>
            <w:vAlign w:val="center"/>
          </w:tcPr>
          <w:p>
            <w:r>
              <w:t>INCLUDE — HIGH VALUE WITH ACT CONTEXT</w:t>
            </w:r>
          </w:p>
        </w:tc>
        <w:tc>
          <w:tcPr>
            <w:tcW w:type="dxa" w:w="3485"/>
            <w:vAlign w:val="center"/>
          </w:tcPr>
          <w:p>
            <w:r>
              <w:t>Use “Section 19 of the Prevention of Corruption Act/PC Act” or “previous sanction necessary for prosecution”; bare section 19 is unsafe.</w:t>
            </w:r>
          </w:p>
        </w:tc>
      </w:tr>
      <w:tr>
        <w:tc>
          <w:tcPr>
            <w:tcW w:type="dxa" w:w="3485"/>
            <w:vAlign w:val="center"/>
          </w:tcPr>
          <w:p>
            <w:r>
              <w:t>Known source of income</w:t>
            </w:r>
          </w:p>
        </w:tc>
        <w:tc>
          <w:tcPr>
            <w:tcW w:type="dxa" w:w="3485"/>
            <w:vAlign w:val="center"/>
          </w:tcPr>
          <w:p>
            <w:r>
              <w:t>INCLUDE WITH CONTEXT</w:t>
            </w:r>
          </w:p>
        </w:tc>
        <w:tc>
          <w:tcPr>
            <w:tcW w:type="dxa" w:w="3485"/>
            <w:vAlign w:val="center"/>
          </w:tcPr>
          <w:p>
            <w:r>
              <w:t>Relevant to disproportionate-assets analysis, but the more legally conventional phrase is “known sources of income”. Pair with disproportionate assets, public servant, check period, or PC Act.</w:t>
            </w:r>
          </w:p>
        </w:tc>
      </w:tr>
    </w:tbl>
    <w:p>
      <w:pPr>
        <w:pStyle w:val="Heading3"/>
      </w:pPr>
      <w:r>
        <w:t>Recommended PC Act additions</w:t>
      </w:r>
    </w:p>
    <w:p>
      <w:r>
        <w:t>Question-side additions (candidate patterns; combine with the existing PC Act pattern):</w:t>
      </w:r>
    </w:p>
    <w:p>
      <w:pPr>
        <w:pStyle w:val="ListBullet"/>
      </w:pPr>
      <w:r>
        <w:rPr>
          <w:rFonts w:ascii="Consolas" w:hAnsi="Consolas"/>
          <w:sz w:val="16"/>
        </w:rPr>
        <w:t>(?i)\bSection\s*17A\s+of\s+the\s+(?:Prevention of Corruption|PC)\s+Act\b</w:t>
      </w:r>
    </w:p>
    <w:p>
      <w:pPr>
        <w:pStyle w:val="ListBullet"/>
      </w:pPr>
      <w:r>
        <w:rPr>
          <w:rFonts w:ascii="Consolas" w:hAnsi="Consolas"/>
          <w:sz w:val="16"/>
        </w:rPr>
        <w:t>(?i)\bSection\s*17\s+of\s+the\s+(?:Prevention of Corruption|PC)\s+Act\b</w:t>
      </w:r>
    </w:p>
    <w:p>
      <w:pPr>
        <w:pStyle w:val="ListBullet"/>
      </w:pPr>
      <w:r>
        <w:rPr>
          <w:rFonts w:ascii="Consolas" w:hAnsi="Consolas"/>
          <w:sz w:val="16"/>
        </w:rPr>
        <w:t>(?i)\bSection\s*19\s+of\s+the\s+(?:Prevention of Corruption|PC)\s+Act\b</w:t>
      </w:r>
    </w:p>
    <w:p>
      <w:pPr>
        <w:pStyle w:val="ListBullet"/>
      </w:pPr>
      <w:r>
        <w:rPr>
          <w:rFonts w:ascii="Consolas" w:hAnsi="Consolas"/>
          <w:sz w:val="16"/>
        </w:rPr>
        <w:t>(?i)\b(?:previous|prior)\s+(?:approval|sanction)\b.{0,100}\b(?:PC Act|Prevention of Corruption Act|public servant|official functions|official duties)\b</w:t>
      </w:r>
    </w:p>
    <w:p>
      <w:pPr>
        <w:pStyle w:val="ListBullet"/>
      </w:pPr>
      <w:r>
        <w:rPr>
          <w:rFonts w:ascii="Consolas" w:hAnsi="Consolas"/>
          <w:sz w:val="16"/>
        </w:rPr>
        <w:t>(?i)\b(?:demand|acceptance|receipt)\b.{0,100}\b(?:undue advantage|illegal gratification|bribe|public servant|trap case|PC Act)\b</w:t>
      </w:r>
    </w:p>
    <w:p>
      <w:pPr>
        <w:pStyle w:val="ListBullet"/>
      </w:pPr>
      <w:r>
        <w:rPr>
          <w:rFonts w:ascii="Consolas" w:hAnsi="Consolas"/>
          <w:sz w:val="16"/>
        </w:rPr>
        <w:t>(?i)\b(?:preliminary enquiry|preliminary inquiry|enquiry|inquiry|investigation)\b.{0,120}\b(?:Section\s*17A|prior approval|PC Act|Prevention of Corruption Act|public servant.{0,40}official functions?)\b</w:t>
      </w:r>
    </w:p>
    <w:p>
      <w:pPr>
        <w:pStyle w:val="ListBullet"/>
      </w:pPr>
      <w:r>
        <w:rPr>
          <w:rFonts w:ascii="Consolas" w:hAnsi="Consolas"/>
          <w:sz w:val="16"/>
        </w:rPr>
        <w:t>(?i)\b(?:abettor|abetment)\b.{0,100}\b(?:Section\s*12|PC Act|Prevention of Corruption Act|corruption offence)\b</w:t>
      </w:r>
    </w:p>
    <w:p>
      <w:pPr>
        <w:pStyle w:val="ListBullet"/>
      </w:pPr>
      <w:r>
        <w:rPr>
          <w:rFonts w:ascii="Consolas" w:hAnsi="Consolas"/>
          <w:sz w:val="16"/>
        </w:rPr>
        <w:t>(?i)\bknown sources? of income\b.{0,100}\b(?:disproportionate assets|public servant|PC Act|check period)\b</w:t>
      </w:r>
    </w:p>
    <w:p>
      <w:pPr>
        <w:pStyle w:val="ListBullet"/>
      </w:pPr>
      <w:r>
        <w:rPr>
          <w:rFonts w:ascii="Consolas" w:hAnsi="Consolas"/>
          <w:sz w:val="16"/>
        </w:rPr>
        <w:t>(?i)\b(?:pending work|expedite official work)\b.{0,100}\b(?:demand|bribe|undue advantage|public servant|illegal gratification)\b</w:t>
      </w:r>
    </w:p>
    <w:p>
      <w:r>
        <w:t>Passage-side strong markers: prioritise the Act title/PC Act, “Section 17A of the Prevention of Corruption Act”, “Section 19 … previous sanction necessary for prosecution”, “persons authorised to investigate” tied to Section 17, and “known sources of income” tied to disproportionate assets/public servant. Do not promote demand, acceptance, intermediary, enquiry, pending work, official duty, or sanction into strong markers when they appear alone.</w:t>
      </w:r>
    </w:p>
    <w:p>
      <w:pPr>
        <w:pStyle w:val="Heading2"/>
      </w:pPr>
      <w:r>
        <w:t>B. NDPS Act, 1985</w:t>
      </w:r>
    </w:p>
    <w:tbl>
      <w:tblPr>
        <w:tblStyle w:val="LightShading-Accent1"/>
        <w:tblW w:type="auto" w:w="0"/>
        <w:tblLook w:firstColumn="1" w:firstRow="1" w:lastColumn="0" w:lastRow="0" w:noHBand="0" w:noVBand="1" w:val="04A0"/>
      </w:tblPr>
      <w:tblGrid>
        <w:gridCol w:w="3485"/>
        <w:gridCol w:w="3485"/>
        <w:gridCol w:w="3485"/>
      </w:tblGrid>
      <w:tr>
        <w:tc>
          <w:tcPr>
            <w:tcW w:type="dxa" w:w="3485"/>
          </w:tcPr>
          <w:p>
            <w:r>
              <w:t>Proposed term</w:t>
            </w:r>
          </w:p>
        </w:tc>
        <w:tc>
          <w:tcPr>
            <w:tcW w:type="dxa" w:w="3485"/>
          </w:tcPr>
          <w:p>
            <w:r>
              <w:t>Decision</w:t>
            </w:r>
          </w:p>
        </w:tc>
        <w:tc>
          <w:tcPr>
            <w:tcW w:type="dxa" w:w="3485"/>
          </w:tcPr>
          <w:p>
            <w:r>
              <w:t>Reason / safeguard</w:t>
            </w:r>
          </w:p>
        </w:tc>
      </w:tr>
      <w:tr>
        <w:tc>
          <w:tcPr>
            <w:tcW w:type="dxa" w:w="3485"/>
            <w:vAlign w:val="center"/>
          </w:tcPr>
          <w:p>
            <w:r>
              <w:t>Recovery</w:t>
            </w:r>
          </w:p>
        </w:tc>
        <w:tc>
          <w:tcPr>
            <w:tcW w:type="dxa" w:w="3485"/>
            <w:vAlign w:val="center"/>
          </w:tcPr>
          <w:p>
            <w:r>
              <w:t>INCLUDE WITH CONTEXT</w:t>
            </w:r>
          </w:p>
        </w:tc>
        <w:tc>
          <w:tcPr>
            <w:tcW w:type="dxa" w:w="3485"/>
            <w:vAlign w:val="center"/>
          </w:tcPr>
          <w:p>
            <w:r>
              <w:t>Common criminal-procedure term. Pair with recovery/seizure of a narcotic drug or psychotropic substance, NDPS, quantity, sampling, or a specific NDPS provision.</w:t>
            </w:r>
          </w:p>
        </w:tc>
      </w:tr>
      <w:tr>
        <w:tc>
          <w:tcPr>
            <w:tcW w:type="dxa" w:w="3485"/>
            <w:vAlign w:val="center"/>
          </w:tcPr>
          <w:p>
            <w:r>
              <w:t>No recovery</w:t>
            </w:r>
          </w:p>
        </w:tc>
        <w:tc>
          <w:tcPr>
            <w:tcW w:type="dxa" w:w="3485"/>
            <w:vAlign w:val="center"/>
          </w:tcPr>
          <w:p>
            <w:r>
              <w:t>INCLUDE AS A QUESTION-SIDE PHRASE WITH CONTEXT</w:t>
            </w:r>
          </w:p>
        </w:tc>
        <w:tc>
          <w:tcPr>
            <w:tcW w:type="dxa" w:w="3485"/>
            <w:vAlign w:val="center"/>
          </w:tcPr>
          <w:p>
            <w:r>
              <w:t>Common defence/search argument, not an Act identifier. Pair with NDPS, contraband, narcotic substance, seizure, possession, or commercial quantity.</w:t>
            </w:r>
          </w:p>
        </w:tc>
      </w:tr>
      <w:tr>
        <w:tc>
          <w:tcPr>
            <w:tcW w:type="dxa" w:w="3485"/>
            <w:vAlign w:val="center"/>
          </w:tcPr>
          <w:p>
            <w:r>
              <w:t>Kingpin</w:t>
            </w:r>
          </w:p>
        </w:tc>
        <w:tc>
          <w:tcPr>
            <w:tcW w:type="dxa" w:w="3485"/>
            <w:vAlign w:val="center"/>
          </w:tcPr>
          <w:p>
            <w:r>
              <w:t>INCLUDE AS A QUESTION-SIDE CONTEXT TERM ONLY</w:t>
            </w:r>
          </w:p>
        </w:tc>
        <w:tc>
          <w:tcPr>
            <w:tcW w:type="dxa" w:w="3485"/>
            <w:vAlign w:val="center"/>
          </w:tcPr>
          <w:p>
            <w:r>
              <w:t>Common media/investigation label, not an NDPS statutory term. Pair with drug trafficking/network, co-accused, conspiracy, or NDPS case.</w:t>
            </w:r>
          </w:p>
        </w:tc>
      </w:tr>
      <w:tr>
        <w:tc>
          <w:tcPr>
            <w:tcW w:type="dxa" w:w="3485"/>
            <w:vAlign w:val="center"/>
          </w:tcPr>
          <w:p>
            <w:r>
              <w:t>Cartel</w:t>
            </w:r>
          </w:p>
        </w:tc>
        <w:tc>
          <w:tcPr>
            <w:tcW w:type="dxa" w:w="3485"/>
            <w:vAlign w:val="center"/>
          </w:tcPr>
          <w:p>
            <w:r>
              <w:t>INCLUDE WITH CONTEXT</w:t>
            </w:r>
          </w:p>
        </w:tc>
        <w:tc>
          <w:tcPr>
            <w:tcW w:type="dxa" w:w="3485"/>
            <w:vAlign w:val="center"/>
          </w:tcPr>
          <w:p>
            <w:r>
              <w:t>Highly ambiguous (competition law, organised crime, general reporting). Pair with drug cartel, narcotics trafficking, contraband supply, or NDPS.</w:t>
            </w:r>
          </w:p>
        </w:tc>
      </w:tr>
      <w:tr>
        <w:tc>
          <w:tcPr>
            <w:tcW w:type="dxa" w:w="3485"/>
            <w:vAlign w:val="center"/>
          </w:tcPr>
          <w:p>
            <w:r>
              <w:t>Drug network</w:t>
            </w:r>
          </w:p>
        </w:tc>
        <w:tc>
          <w:tcPr>
            <w:tcW w:type="dxa" w:w="3485"/>
            <w:vAlign w:val="center"/>
          </w:tcPr>
          <w:p>
            <w:r>
              <w:t>INCLUDE WITH CONTEXT</w:t>
            </w:r>
          </w:p>
        </w:tc>
        <w:tc>
          <w:tcPr>
            <w:tcW w:type="dxa" w:w="3485"/>
            <w:vAlign w:val="center"/>
          </w:tcPr>
          <w:p>
            <w:r>
              <w:t>Potentially useful plain-language query wording, but not a statutory phrase. Pair with drug trafficking/supply, narcotics, seizure, or NDPS.</w:t>
            </w:r>
          </w:p>
        </w:tc>
      </w:tr>
    </w:tbl>
    <w:p>
      <w:pPr>
        <w:pStyle w:val="Heading3"/>
      </w:pPr>
      <w:r>
        <w:t>Recommended NDPS additions</w:t>
      </w:r>
    </w:p>
    <w:p>
      <w:r>
        <w:t>Question-side additions (candidate patterns; combine with the existing NDPS pattern):</w:t>
      </w:r>
    </w:p>
    <w:p>
      <w:pPr>
        <w:pStyle w:val="ListBullet"/>
      </w:pPr>
      <w:r>
        <w:rPr>
          <w:rFonts w:ascii="Consolas" w:hAnsi="Consolas"/>
          <w:sz w:val="16"/>
        </w:rPr>
        <w:t>(?i)\b(?:recovery|seizure)\b.{0,100}\b(?:NDPS|narcotic drug|psychotropic substance|contraband|ganja|charas|heroin|cocaine|opium|MDMA)\b</w:t>
      </w:r>
    </w:p>
    <w:p>
      <w:pPr>
        <w:pStyle w:val="ListBullet"/>
      </w:pPr>
      <w:r>
        <w:rPr>
          <w:rFonts w:ascii="Consolas" w:hAnsi="Consolas"/>
          <w:sz w:val="16"/>
        </w:rPr>
        <w:t>(?i)\b(?:no recovery|nothing recovered|no contraband recovered|absence of recovery)\b.{0,100}\b(?:NDPS|narcotic|psychotropic|drug possession|commercial quantity|seizure)\b</w:t>
      </w:r>
    </w:p>
    <w:p>
      <w:pPr>
        <w:pStyle w:val="ListBullet"/>
      </w:pPr>
      <w:r>
        <w:rPr>
          <w:rFonts w:ascii="Consolas" w:hAnsi="Consolas"/>
          <w:sz w:val="16"/>
        </w:rPr>
        <w:t>(?i)\bkingpin\b.{0,100}\b(?:drug trafficking|drug network|narcotics|NDPS|contraband|drug cartel)\b</w:t>
      </w:r>
    </w:p>
    <w:p>
      <w:pPr>
        <w:pStyle w:val="ListBullet"/>
      </w:pPr>
      <w:r>
        <w:rPr>
          <w:rFonts w:ascii="Consolas" w:hAnsi="Consolas"/>
          <w:sz w:val="16"/>
        </w:rPr>
        <w:t>(?i)\b(?:cartel|drug network|drug syndicate)\b.{0,100}\b(?:narcotics|drug trafficking|contraband|NDPS|psychotropic substance)\b</w:t>
      </w:r>
    </w:p>
    <w:p>
      <w:pPr>
        <w:pStyle w:val="ListBullet"/>
      </w:pPr>
      <w:r>
        <w:rPr>
          <w:rFonts w:ascii="Consolas" w:hAnsi="Consolas"/>
          <w:sz w:val="16"/>
        </w:rPr>
        <w:t>(?i)\b(?:NDPS|narcotic drugs and psychotropic substances act)\b.{0,120}\b(?:recovery|seizure|sampling|inventory|commercial quantity|conscious possession|chain of custody)\b</w:t>
      </w:r>
    </w:p>
    <w:p>
      <w:r>
        <w:t>Passage-side strong markers: do not make “recovery”, “no recovery”, “kingpin”, “cartel” or “drug network” standalone strong markers. Prefer the NDPS Act title/abbreviation or distinctive statutory procedure and doctrine tied to NDPS, such as commercial quantity, conscious possession, Section 37 bail restrictions, Sections 42/43 search and seizure, Section 50 personal-search safeguards, Section 52A inventory/disposal, or Section 57 reporting. These section references must be linked explicitly to the NDPS Act.</w:t>
      </w:r>
    </w:p>
    <w:p>
      <w:pPr>
        <w:pStyle w:val="Heading1"/>
      </w:pPr>
      <w:r>
        <w:t>Final decision</w:t>
      </w:r>
    </w:p>
    <w:p>
      <w:r>
        <w:t>Include all the proposed terms in the machine spec as contextual question-side anchors where the wording can help identify the user’s legal issue. Do not include them all as standalone passage-side strong markers. The highest-confidence additions are PC Act Sections 17A and 19 with the Act name, PC Act “previous approval” / “previous sanction” in statutory context, and NDPS-specific recovery/seizure terminology when linked to the Act or contraband. “Demand”, “acceptance”, “sanction”, “enquiry”, “official duty”, “pending work”, “kingpin”, “cartel” and “drug network” require nearby contextual terms.</w:t>
      </w:r>
    </w:p>
    <w:p>
      <w:pPr>
        <w:pStyle w:val="Heading1"/>
      </w:pPr>
      <w:r>
        <w:t>Sources for this supplement</w:t>
      </w:r>
    </w:p>
    <w:p>
      <w:pPr>
        <w:pStyle w:val="ListBullet"/>
      </w:pPr>
      <w:r>
        <w:rPr>
          <w:b/>
        </w:rPr>
        <w:t xml:space="preserve">India Code — Prevention of Corruption Act, 1988 (official Act page; lists Sections 17, 17A and 19): </w:t>
      </w:r>
      <w:r>
        <w:t>https://www.indiacode.nic.in/handle/123456789/12894</w:t>
      </w:r>
    </w:p>
    <w:p>
      <w:pPr>
        <w:pStyle w:val="ListBullet"/>
      </w:pPr>
      <w:r>
        <w:rPr>
          <w:b/>
        </w:rPr>
        <w:t xml:space="preserve">India Kanoon — Prevention of Corruption Act, text of Sections 17 and 17A: </w:t>
      </w:r>
      <w:r>
        <w:t>https://indiankanoon.org/doc/1331755/</w:t>
      </w:r>
    </w:p>
    <w:p>
      <w:pPr>
        <w:pStyle w:val="ListBullet"/>
      </w:pPr>
      <w:r>
        <w:rPr>
          <w:b/>
        </w:rPr>
        <w:t xml:space="preserve">India Code/eCourts — PC Act Section 17A text and prior approval requirement: </w:t>
      </w:r>
      <w:r>
        <w:t>https://indiacode.ecourtsindia.com/pc-act/section/17A/</w:t>
      </w:r>
    </w:p>
    <w:p>
      <w:pPr>
        <w:pStyle w:val="ListBullet"/>
      </w:pPr>
      <w:r>
        <w:rPr>
          <w:b/>
        </w:rPr>
        <w:t xml:space="preserve">Central Bureau of Narcotics — NDPS Act and Rules, updated 2025 PDF; includes statutory search, seizure, inventory and reporting provisions: </w:t>
      </w:r>
      <w:r>
        <w:t>https://www.cbn.gov.in/pdf/NDPS_Act_and_Rules_1985-%28updated_2025%29.pdf</w:t>
      </w:r>
    </w:p>
    <w:p>
      <w:pPr>
        <w:pStyle w:val="ListBullet"/>
      </w:pPr>
      <w:r>
        <w:rPr>
          <w:b/>
        </w:rPr>
        <w:t xml:space="preserve">India Code/eCourts — NDPS Act Section 37 (cognizable and non-bailable offences; commercial quantity and specified offences): </w:t>
      </w:r>
      <w:r>
        <w:t>https://indiacode.ecourtsindia.com/ndps-act/section/37/</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Legal Act-Boost Regex Audit | Draft for engineering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