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788F" w:rsidRDefault="00000000">
      <w:pPr>
        <w:spacing w:after="160"/>
        <w:jc w:val="center"/>
      </w:pPr>
      <w:r>
        <w:rPr>
          <w:rFonts w:ascii="Arial" w:hAnsi="Arial"/>
          <w:b/>
          <w:bCs/>
          <w:color w:val="1F3864"/>
          <w:sz w:val="32"/>
          <w:szCs w:val="32"/>
        </w:rPr>
        <w:t>MACHINE LEARNING TECHNIQUES FOR STOCK MARKET PREDICTION USING EXPLAINABLE ARTIFICIAL INTELLIGENCE</w:t>
      </w:r>
    </w:p>
    <w:p w:rsidR="0064788F" w:rsidRDefault="001D187F">
      <w:pPr>
        <w:spacing w:after="60"/>
        <w:jc w:val="center"/>
      </w:pPr>
      <w:r>
        <w:rPr>
          <w:rFonts w:ascii="Arial" w:hAnsi="Arial"/>
          <w:i/>
          <w:iCs/>
          <w:sz w:val="23"/>
          <w:szCs w:val="23"/>
        </w:rPr>
        <w:t>Tanek Ghantasala</w:t>
      </w:r>
    </w:p>
    <w:p w:rsidR="0064788F" w:rsidRDefault="00000000">
      <w:pPr>
        <w:spacing w:after="20"/>
        <w:jc w:val="center"/>
      </w:pPr>
      <w:r>
        <w:rPr>
          <w:rFonts w:ascii="Arial" w:hAnsi="Arial"/>
          <w:sz w:val="19"/>
          <w:szCs w:val="19"/>
        </w:rPr>
        <w:t>CSE Department, KL University</w:t>
      </w:r>
    </w:p>
    <w:p w:rsidR="0064788F" w:rsidRDefault="00000000">
      <w:pPr>
        <w:pBdr>
          <w:bottom w:val="single" w:sz="8" w:space="8" w:color="1F3864"/>
        </w:pBdr>
        <w:spacing w:after="200"/>
        <w:jc w:val="center"/>
      </w:pPr>
      <w:r>
        <w:rPr>
          <w:rFonts w:ascii="Arial" w:hAnsi="Arial"/>
          <w:i/>
          <w:iCs/>
          <w:sz w:val="19"/>
          <w:szCs w:val="19"/>
        </w:rPr>
        <w:t>Data Science and Big Data Analytics — Review 1 / Project Research Paper</w:t>
      </w:r>
    </w:p>
    <w:p w:rsidR="0064788F" w:rsidRDefault="0064788F">
      <w:pPr>
        <w:sectPr w:rsidR="0064788F">
          <w:footerReference w:type="default" r:id="rId7"/>
          <w:type w:val="continuous"/>
          <w:pgSz w:w="12240" w:h="15840"/>
          <w:pgMar w:top="1080" w:right="1080" w:bottom="1080" w:left="1080" w:header="708" w:footer="708" w:gutter="0"/>
          <w:cols w:space="720"/>
          <w:docGrid w:linePitch="360"/>
        </w:sectPr>
      </w:pPr>
    </w:p>
    <w:p w:rsidR="0064788F" w:rsidRDefault="00000000">
      <w:pPr>
        <w:spacing w:before="60" w:after="100"/>
      </w:pPr>
      <w:r>
        <w:rPr>
          <w:b/>
          <w:bCs/>
          <w:color w:val="1F3864"/>
        </w:rPr>
        <w:t>ABSTRACT</w:t>
      </w:r>
    </w:p>
    <w:p w:rsidR="0064788F" w:rsidRDefault="00000000">
      <w:pPr>
        <w:spacing w:after="160" w:line="248" w:lineRule="auto"/>
        <w:jc w:val="both"/>
      </w:pPr>
      <w:r>
        <w:rPr>
          <w:rFonts w:ascii="Arial" w:hAnsi="Arial"/>
          <w:i/>
          <w:iCs/>
          <w:color w:val="595959"/>
          <w:sz w:val="18"/>
          <w:szCs w:val="18"/>
        </w:rPr>
        <w:t xml:space="preserve">Stock market prediction is a challenging financial forecasting problem because prices are volatile, noisy, non-stationary, and influenced by interacting temporal and technical factors. Machine learning can model nonlinear relationships in historical market data, but high-performing ensemble models can be difficult for users to interpret. This project proposes an explainable machine-learning framework for next-trading-day stock-price prediction that combines systematic data analytics, financial feature engineering, comparative machine learning, time-series-aware validation, and Explainable Artificial Intelligence (XAI). Historical Open-High-Low-Close-Volume (OHLCV) data are collected through the </w:t>
      </w:r>
      <w:proofErr w:type="spellStart"/>
      <w:r>
        <w:rPr>
          <w:rFonts w:ascii="Arial" w:hAnsi="Arial"/>
          <w:i/>
          <w:iCs/>
          <w:color w:val="595959"/>
          <w:sz w:val="18"/>
          <w:szCs w:val="18"/>
        </w:rPr>
        <w:t>yFinance</w:t>
      </w:r>
      <w:proofErr w:type="spellEnd"/>
      <w:r>
        <w:rPr>
          <w:rFonts w:ascii="Arial" w:hAnsi="Arial"/>
          <w:i/>
          <w:iCs/>
          <w:color w:val="595959"/>
          <w:sz w:val="18"/>
          <w:szCs w:val="18"/>
        </w:rPr>
        <w:t xml:space="preserve"> interface to Yahoo Finance for selected stocks. The pipeline performs data-quality assessment, exploratory data analysis, feature construction using returns, lagged prices, moving averages, volatility, RSI, MACD and volume indicators, followed by chronological train-test splitting. Five core models are compared: Linear Regression, Decision Tree, Random Forest, </w:t>
      </w:r>
      <w:proofErr w:type="spellStart"/>
      <w:r>
        <w:rPr>
          <w:rFonts w:ascii="Arial" w:hAnsi="Arial"/>
          <w:i/>
          <w:iCs/>
          <w:color w:val="595959"/>
          <w:sz w:val="18"/>
          <w:szCs w:val="18"/>
        </w:rPr>
        <w:t>XGBoost</w:t>
      </w:r>
      <w:proofErr w:type="spellEnd"/>
      <w:r>
        <w:rPr>
          <w:rFonts w:ascii="Arial" w:hAnsi="Arial"/>
          <w:i/>
          <w:iCs/>
          <w:color w:val="595959"/>
          <w:sz w:val="18"/>
          <w:szCs w:val="18"/>
        </w:rPr>
        <w:t xml:space="preserve"> and </w:t>
      </w:r>
      <w:proofErr w:type="spellStart"/>
      <w:r>
        <w:rPr>
          <w:rFonts w:ascii="Arial" w:hAnsi="Arial"/>
          <w:i/>
          <w:iCs/>
          <w:color w:val="595959"/>
          <w:sz w:val="18"/>
          <w:szCs w:val="18"/>
        </w:rPr>
        <w:t>CatBoost</w:t>
      </w:r>
      <w:proofErr w:type="spellEnd"/>
      <w:r>
        <w:rPr>
          <w:rFonts w:ascii="Arial" w:hAnsi="Arial"/>
          <w:i/>
          <w:iCs/>
          <w:color w:val="595959"/>
          <w:sz w:val="18"/>
          <w:szCs w:val="18"/>
        </w:rPr>
        <w:t xml:space="preserve">. Regression performance is evaluated using MAE, RMSE and R²; a complementary direction-classification task may be evaluated using Accuracy, Precision, Recall, F1-score and ROC-AUC. SHAP provides global and local feature-attribution views, while LIME provides local model-agnostic explanations. Results are presented through a </w:t>
      </w:r>
      <w:proofErr w:type="spellStart"/>
      <w:r>
        <w:rPr>
          <w:rFonts w:ascii="Arial" w:hAnsi="Arial"/>
          <w:i/>
          <w:iCs/>
          <w:color w:val="595959"/>
          <w:sz w:val="18"/>
          <w:szCs w:val="18"/>
        </w:rPr>
        <w:t>Streamlit</w:t>
      </w:r>
      <w:proofErr w:type="spellEnd"/>
      <w:r>
        <w:rPr>
          <w:rFonts w:ascii="Arial" w:hAnsi="Arial"/>
          <w:i/>
          <w:iCs/>
          <w:color w:val="595959"/>
          <w:sz w:val="18"/>
          <w:szCs w:val="18"/>
        </w:rPr>
        <w:t xml:space="preserve"> dashboard containing price charts, predicted price, directional signal, model comparison, feature importance and XAI insights. At the current project stage, numerical final results are treated as experimental outputs to be generated after the complete training and validation run. The principal contribution is an integrated, reproducible and transparent stock-prediction workflow that evaluates predictive performance together with interpretability rather than treating them as separate tasks.</w:t>
      </w:r>
    </w:p>
    <w:p w:rsidR="0064788F" w:rsidRDefault="00000000">
      <w:pPr>
        <w:spacing w:after="220"/>
        <w:jc w:val="both"/>
      </w:pPr>
      <w:r>
        <w:rPr>
          <w:rFonts w:ascii="Arial" w:hAnsi="Arial"/>
          <w:b/>
          <w:bCs/>
          <w:i/>
          <w:iCs/>
          <w:sz w:val="18"/>
          <w:szCs w:val="18"/>
        </w:rPr>
        <w:t xml:space="preserve">Keywords: stock market prediction; machine learning; </w:t>
      </w:r>
      <w:proofErr w:type="spellStart"/>
      <w:r>
        <w:rPr>
          <w:rFonts w:ascii="Arial" w:hAnsi="Arial"/>
          <w:b/>
          <w:bCs/>
          <w:i/>
          <w:iCs/>
          <w:sz w:val="18"/>
          <w:szCs w:val="18"/>
        </w:rPr>
        <w:t>XGBoost</w:t>
      </w:r>
      <w:proofErr w:type="spellEnd"/>
      <w:r>
        <w:rPr>
          <w:rFonts w:ascii="Arial" w:hAnsi="Arial"/>
          <w:b/>
          <w:bCs/>
          <w:i/>
          <w:iCs/>
          <w:sz w:val="18"/>
          <w:szCs w:val="18"/>
        </w:rPr>
        <w:t xml:space="preserve">; </w:t>
      </w:r>
      <w:proofErr w:type="spellStart"/>
      <w:r>
        <w:rPr>
          <w:rFonts w:ascii="Arial" w:hAnsi="Arial"/>
          <w:b/>
          <w:bCs/>
          <w:i/>
          <w:iCs/>
          <w:sz w:val="18"/>
          <w:szCs w:val="18"/>
        </w:rPr>
        <w:t>CatBoost</w:t>
      </w:r>
      <w:proofErr w:type="spellEnd"/>
      <w:r>
        <w:rPr>
          <w:rFonts w:ascii="Arial" w:hAnsi="Arial"/>
          <w:b/>
          <w:bCs/>
          <w:i/>
          <w:iCs/>
          <w:sz w:val="18"/>
          <w:szCs w:val="18"/>
        </w:rPr>
        <w:t xml:space="preserve">; Random Forest; time-series forecasting; SHAP; LIME; financial feature engineering; </w:t>
      </w:r>
      <w:proofErr w:type="spellStart"/>
      <w:r>
        <w:rPr>
          <w:rFonts w:ascii="Arial" w:hAnsi="Arial"/>
          <w:b/>
          <w:bCs/>
          <w:i/>
          <w:iCs/>
          <w:sz w:val="18"/>
          <w:szCs w:val="18"/>
        </w:rPr>
        <w:t>Streamlit</w:t>
      </w:r>
      <w:proofErr w:type="spellEnd"/>
    </w:p>
    <w:p w:rsidR="0064788F" w:rsidRDefault="00000000">
      <w:pPr>
        <w:keepNext/>
        <w:spacing w:before="260" w:after="120"/>
      </w:pPr>
      <w:r>
        <w:rPr>
          <w:b/>
          <w:bCs/>
          <w:color w:val="1F3864"/>
          <w:sz w:val="21"/>
          <w:szCs w:val="21"/>
        </w:rPr>
        <w:t>1. INTRODUCTION</w:t>
      </w:r>
    </w:p>
    <w:p w:rsidR="0064788F" w:rsidRDefault="00000000">
      <w:pPr>
        <w:keepNext/>
        <w:spacing w:before="180" w:after="100"/>
      </w:pPr>
      <w:r>
        <w:rPr>
          <w:b/>
          <w:bCs/>
          <w:i/>
          <w:iCs/>
        </w:rPr>
        <w:t>1.1 Background</w:t>
      </w:r>
    </w:p>
    <w:p w:rsidR="0064788F" w:rsidRDefault="00000000">
      <w:pPr>
        <w:spacing w:after="140" w:line="252" w:lineRule="auto"/>
        <w:jc w:val="both"/>
      </w:pPr>
      <w:r>
        <w:rPr>
          <w:rFonts w:ascii="Arial" w:hAnsi="Arial"/>
          <w:i/>
          <w:iCs/>
          <w:color w:val="808080"/>
          <w:sz w:val="19"/>
          <w:szCs w:val="19"/>
        </w:rPr>
        <w:t xml:space="preserve">Stock markets generate continuous numerical time-series data such as open, high, low, close and traded volume. These observations can be transformed into returns, lag variables and technical indicators that expose momentum, trend and volatility. Recent financial machine-learning research shows that tree-based ensembles and other nonlinear models can capture relationships that linear baselines may miss, while time-aware validation is </w:t>
      </w:r>
      <w:r>
        <w:rPr>
          <w:rFonts w:ascii="Arial" w:hAnsi="Arial"/>
          <w:i/>
          <w:iCs/>
          <w:color w:val="808080"/>
          <w:sz w:val="19"/>
          <w:szCs w:val="19"/>
        </w:rPr>
        <w:t>important to avoid leakage from future observations [1]–[4].</w:t>
      </w:r>
    </w:p>
    <w:p w:rsidR="0064788F" w:rsidRDefault="00000000">
      <w:pPr>
        <w:keepNext/>
        <w:spacing w:before="180" w:after="100"/>
      </w:pPr>
      <w:r>
        <w:rPr>
          <w:b/>
          <w:bCs/>
          <w:i/>
          <w:iCs/>
        </w:rPr>
        <w:t>1.2 Problem Statement</w:t>
      </w:r>
    </w:p>
    <w:p w:rsidR="0064788F" w:rsidRDefault="00000000">
      <w:pPr>
        <w:spacing w:after="140" w:line="252" w:lineRule="auto"/>
        <w:jc w:val="both"/>
      </w:pPr>
      <w:r>
        <w:rPr>
          <w:rFonts w:ascii="Arial" w:hAnsi="Arial"/>
          <w:i/>
          <w:iCs/>
          <w:color w:val="808080"/>
          <w:sz w:val="19"/>
          <w:szCs w:val="19"/>
        </w:rPr>
        <w:t>Existing stock-prediction systems frequently optimize predictive accuracy without providing a complete explanation of why a model produced a particular forecast. Comparisons also differ in datasets, horizons, validation strategies and target definitions, making model conclusions difficult to generalize. The core research problem addressed in this work is: how can multiple machine-learning techniques be compared under a consistent time-series pipeline while making the resulting stock-price predictions understandable through SHAP and LIME?</w:t>
      </w:r>
    </w:p>
    <w:p w:rsidR="0064788F" w:rsidRDefault="00000000">
      <w:pPr>
        <w:keepNext/>
        <w:spacing w:before="180" w:after="100"/>
      </w:pPr>
      <w:r>
        <w:rPr>
          <w:b/>
          <w:bCs/>
          <w:i/>
          <w:iCs/>
        </w:rPr>
        <w:t>1.3 Research Gap</w:t>
      </w:r>
    </w:p>
    <w:p w:rsidR="0064788F" w:rsidRDefault="00000000">
      <w:pPr>
        <w:spacing w:after="140" w:line="252" w:lineRule="auto"/>
        <w:jc w:val="both"/>
      </w:pPr>
      <w:r>
        <w:rPr>
          <w:rFonts w:ascii="Arial" w:hAnsi="Arial"/>
          <w:i/>
          <w:iCs/>
          <w:color w:val="808080"/>
          <w:sz w:val="19"/>
          <w:szCs w:val="19"/>
        </w:rPr>
        <w:t>Prior work demonstrates that machine learning can improve financial forecasting, but several gaps remain. First, model performance varies strongly across markets, time periods and feature sets [1], [2]. Second, many studies emphasize deep learning or multimodal data, whereas a transparent comparison of strong classical and boosting models remains practically useful [3], [4]. Third, XAI is often studied as a separate finance problem rather than integrated into the complete prediction-and-dashboard workflow [5]–[8]. Finally, time-series leakage and inconsistent evaluation can make reported performance overly optimistic. This project addresses these gaps with a consistent chronological pipeline, comparative ML models and dual XAI.</w:t>
      </w:r>
    </w:p>
    <w:p w:rsidR="0064788F" w:rsidRDefault="00000000">
      <w:pPr>
        <w:keepNext/>
        <w:spacing w:before="180" w:after="100"/>
      </w:pPr>
      <w:r>
        <w:rPr>
          <w:b/>
          <w:bCs/>
          <w:i/>
          <w:iCs/>
        </w:rPr>
        <w:t>1.4 Research Objectives</w:t>
      </w:r>
    </w:p>
    <w:p w:rsidR="0064788F" w:rsidRDefault="00000000">
      <w:pPr>
        <w:pStyle w:val="ListParagraph"/>
        <w:numPr>
          <w:ilvl w:val="0"/>
          <w:numId w:val="2"/>
        </w:numPr>
        <w:spacing w:after="110" w:line="250" w:lineRule="auto"/>
        <w:jc w:val="both"/>
      </w:pPr>
      <w:r>
        <w:rPr>
          <w:rFonts w:ascii="Arial" w:hAnsi="Arial"/>
          <w:sz w:val="19"/>
          <w:szCs w:val="19"/>
        </w:rPr>
        <w:t>To build a reproducible historical stock-market data pipeline and perform systematic data-quality assessment and EDA.</w:t>
      </w:r>
    </w:p>
    <w:p w:rsidR="0064788F" w:rsidRDefault="00000000">
      <w:pPr>
        <w:pStyle w:val="ListParagraph"/>
        <w:numPr>
          <w:ilvl w:val="0"/>
          <w:numId w:val="2"/>
        </w:numPr>
        <w:spacing w:after="110" w:line="250" w:lineRule="auto"/>
        <w:jc w:val="both"/>
      </w:pPr>
      <w:r>
        <w:rPr>
          <w:rFonts w:ascii="Arial" w:hAnsi="Arial"/>
          <w:sz w:val="19"/>
          <w:szCs w:val="19"/>
        </w:rPr>
        <w:t xml:space="preserve">To engineer informative financial features and compare Linear Regression, Decision Tree, Random Forest, </w:t>
      </w:r>
      <w:proofErr w:type="spellStart"/>
      <w:r>
        <w:rPr>
          <w:rFonts w:ascii="Arial" w:hAnsi="Arial"/>
          <w:sz w:val="19"/>
          <w:szCs w:val="19"/>
        </w:rPr>
        <w:t>XGBoost</w:t>
      </w:r>
      <w:proofErr w:type="spellEnd"/>
      <w:r>
        <w:rPr>
          <w:rFonts w:ascii="Arial" w:hAnsi="Arial"/>
          <w:sz w:val="19"/>
          <w:szCs w:val="19"/>
        </w:rPr>
        <w:t xml:space="preserve"> and </w:t>
      </w:r>
      <w:proofErr w:type="spellStart"/>
      <w:r>
        <w:rPr>
          <w:rFonts w:ascii="Arial" w:hAnsi="Arial"/>
          <w:sz w:val="19"/>
          <w:szCs w:val="19"/>
        </w:rPr>
        <w:t>CatBoost</w:t>
      </w:r>
      <w:proofErr w:type="spellEnd"/>
      <w:r>
        <w:rPr>
          <w:rFonts w:ascii="Arial" w:hAnsi="Arial"/>
          <w:sz w:val="19"/>
          <w:szCs w:val="19"/>
        </w:rPr>
        <w:t>.</w:t>
      </w:r>
    </w:p>
    <w:p w:rsidR="0064788F" w:rsidRDefault="00000000">
      <w:pPr>
        <w:pStyle w:val="ListParagraph"/>
        <w:numPr>
          <w:ilvl w:val="0"/>
          <w:numId w:val="2"/>
        </w:numPr>
        <w:spacing w:after="110" w:line="250" w:lineRule="auto"/>
        <w:jc w:val="both"/>
      </w:pPr>
      <w:r>
        <w:rPr>
          <w:rFonts w:ascii="Arial" w:hAnsi="Arial"/>
          <w:sz w:val="19"/>
          <w:szCs w:val="19"/>
        </w:rPr>
        <w:t>To evaluate the models using chronological train-test and, where feasible, walk-forward/time-series validation without future-data leakage.</w:t>
      </w:r>
    </w:p>
    <w:p w:rsidR="0064788F" w:rsidRDefault="00000000">
      <w:pPr>
        <w:pStyle w:val="ListParagraph"/>
        <w:numPr>
          <w:ilvl w:val="0"/>
          <w:numId w:val="2"/>
        </w:numPr>
        <w:spacing w:after="110" w:line="250" w:lineRule="auto"/>
        <w:jc w:val="both"/>
      </w:pPr>
      <w:r>
        <w:rPr>
          <w:rFonts w:ascii="Arial" w:hAnsi="Arial"/>
          <w:sz w:val="19"/>
          <w:szCs w:val="19"/>
        </w:rPr>
        <w:t>To measure predictive performance using MAE, RMSE and R², with directional Accuracy, Precision, Recall, F1 and ROC-AUC where classification is used.</w:t>
      </w:r>
    </w:p>
    <w:p w:rsidR="0064788F" w:rsidRDefault="00000000">
      <w:pPr>
        <w:pStyle w:val="ListParagraph"/>
        <w:numPr>
          <w:ilvl w:val="0"/>
          <w:numId w:val="2"/>
        </w:numPr>
        <w:spacing w:after="110" w:line="250" w:lineRule="auto"/>
        <w:jc w:val="both"/>
      </w:pPr>
      <w:r>
        <w:rPr>
          <w:rFonts w:ascii="Arial" w:hAnsi="Arial"/>
          <w:sz w:val="19"/>
          <w:szCs w:val="19"/>
        </w:rPr>
        <w:lastRenderedPageBreak/>
        <w:t xml:space="preserve">To provide an interactive </w:t>
      </w:r>
      <w:proofErr w:type="spellStart"/>
      <w:r>
        <w:rPr>
          <w:rFonts w:ascii="Arial" w:hAnsi="Arial"/>
          <w:sz w:val="19"/>
          <w:szCs w:val="19"/>
        </w:rPr>
        <w:t>Streamlit</w:t>
      </w:r>
      <w:proofErr w:type="spellEnd"/>
      <w:r>
        <w:rPr>
          <w:rFonts w:ascii="Arial" w:hAnsi="Arial"/>
          <w:sz w:val="19"/>
          <w:szCs w:val="19"/>
        </w:rPr>
        <w:t xml:space="preserve"> dashboard with prediction, signal, feature importance, SHAP and LIME explanations.</w:t>
      </w:r>
    </w:p>
    <w:p w:rsidR="0064788F" w:rsidRDefault="00000000">
      <w:pPr>
        <w:keepNext/>
        <w:spacing w:before="180" w:after="100"/>
      </w:pPr>
      <w:r>
        <w:rPr>
          <w:b/>
          <w:bCs/>
          <w:i/>
          <w:iCs/>
        </w:rPr>
        <w:t>1.5 Research Questions</w:t>
      </w:r>
    </w:p>
    <w:p w:rsidR="0064788F" w:rsidRDefault="00000000">
      <w:pPr>
        <w:pStyle w:val="ListParagraph"/>
        <w:numPr>
          <w:ilvl w:val="0"/>
          <w:numId w:val="3"/>
        </w:numPr>
        <w:spacing w:after="100" w:line="250" w:lineRule="auto"/>
        <w:jc w:val="both"/>
      </w:pPr>
      <w:r>
        <w:rPr>
          <w:rFonts w:ascii="Arial" w:hAnsi="Arial"/>
          <w:sz w:val="19"/>
          <w:szCs w:val="19"/>
        </w:rPr>
        <w:t xml:space="preserve">RQ1: Which of Linear Regression, Decision Tree, Random Forest, </w:t>
      </w:r>
      <w:proofErr w:type="spellStart"/>
      <w:r>
        <w:rPr>
          <w:rFonts w:ascii="Arial" w:hAnsi="Arial"/>
          <w:sz w:val="19"/>
          <w:szCs w:val="19"/>
        </w:rPr>
        <w:t>XGBoost</w:t>
      </w:r>
      <w:proofErr w:type="spellEnd"/>
      <w:r>
        <w:rPr>
          <w:rFonts w:ascii="Arial" w:hAnsi="Arial"/>
          <w:sz w:val="19"/>
          <w:szCs w:val="19"/>
        </w:rPr>
        <w:t xml:space="preserve"> and </w:t>
      </w:r>
      <w:proofErr w:type="spellStart"/>
      <w:r>
        <w:rPr>
          <w:rFonts w:ascii="Arial" w:hAnsi="Arial"/>
          <w:sz w:val="19"/>
          <w:szCs w:val="19"/>
        </w:rPr>
        <w:t>CatBoost</w:t>
      </w:r>
      <w:proofErr w:type="spellEnd"/>
      <w:r>
        <w:rPr>
          <w:rFonts w:ascii="Arial" w:hAnsi="Arial"/>
          <w:sz w:val="19"/>
          <w:szCs w:val="19"/>
        </w:rPr>
        <w:t xml:space="preserve"> provides the strongest next-day stock-price prediction under a common time-series evaluation protocol?</w:t>
      </w:r>
    </w:p>
    <w:p w:rsidR="0064788F" w:rsidRDefault="00000000">
      <w:pPr>
        <w:pStyle w:val="ListParagraph"/>
        <w:numPr>
          <w:ilvl w:val="0"/>
          <w:numId w:val="3"/>
        </w:numPr>
        <w:spacing w:after="100" w:line="250" w:lineRule="auto"/>
        <w:jc w:val="both"/>
      </w:pPr>
      <w:r>
        <w:rPr>
          <w:rFonts w:ascii="Arial" w:hAnsi="Arial"/>
          <w:sz w:val="19"/>
          <w:szCs w:val="19"/>
        </w:rPr>
        <w:t>RQ2: Do nonlinear tree-based and boosting models improve predictive error over the linear baseline, and which evaluation metrics best distinguish their performance?</w:t>
      </w:r>
    </w:p>
    <w:p w:rsidR="0064788F" w:rsidRDefault="00000000">
      <w:pPr>
        <w:pStyle w:val="ListParagraph"/>
        <w:numPr>
          <w:ilvl w:val="0"/>
          <w:numId w:val="3"/>
        </w:numPr>
        <w:spacing w:after="100" w:line="250" w:lineRule="auto"/>
        <w:jc w:val="both"/>
      </w:pPr>
      <w:r>
        <w:rPr>
          <w:rFonts w:ascii="Arial" w:hAnsi="Arial"/>
          <w:sz w:val="19"/>
          <w:szCs w:val="19"/>
        </w:rPr>
        <w:t>RQ3: Are the most influential engineered financial features stable across models and selected stocks, or do their contributions change with the model and market condition?</w:t>
      </w:r>
    </w:p>
    <w:p w:rsidR="0064788F" w:rsidRDefault="00000000">
      <w:pPr>
        <w:pStyle w:val="ListParagraph"/>
        <w:numPr>
          <w:ilvl w:val="0"/>
          <w:numId w:val="3"/>
        </w:numPr>
        <w:spacing w:after="100" w:line="250" w:lineRule="auto"/>
        <w:jc w:val="both"/>
      </w:pPr>
      <w:r>
        <w:rPr>
          <w:rFonts w:ascii="Arial" w:hAnsi="Arial"/>
          <w:sz w:val="19"/>
          <w:szCs w:val="19"/>
        </w:rPr>
        <w:t>RQ4: Can SHAP and LIME make model outputs sufficiently transparent for users to understand the main factors behind an individual stock-price prediction?</w:t>
      </w:r>
    </w:p>
    <w:p w:rsidR="0064788F" w:rsidRDefault="00000000">
      <w:pPr>
        <w:keepNext/>
        <w:spacing w:before="180" w:after="100"/>
      </w:pPr>
      <w:r>
        <w:rPr>
          <w:b/>
          <w:bCs/>
          <w:i/>
          <w:iCs/>
        </w:rPr>
        <w:t>1.6 Contributions</w:t>
      </w:r>
    </w:p>
    <w:p w:rsidR="0064788F" w:rsidRDefault="00000000">
      <w:pPr>
        <w:pStyle w:val="ListParagraph"/>
        <w:numPr>
          <w:ilvl w:val="0"/>
          <w:numId w:val="3"/>
        </w:numPr>
        <w:spacing w:after="100" w:line="250" w:lineRule="auto"/>
        <w:jc w:val="both"/>
      </w:pPr>
      <w:r>
        <w:rPr>
          <w:rFonts w:ascii="Arial" w:hAnsi="Arial"/>
          <w:sz w:val="19"/>
          <w:szCs w:val="19"/>
        </w:rPr>
        <w:t>An end-to-end explainable stock-prediction framework linking data acquisition, EDA, financial feature engineering, comparative ML and XAI.</w:t>
      </w:r>
    </w:p>
    <w:p w:rsidR="0064788F" w:rsidRDefault="00000000">
      <w:pPr>
        <w:pStyle w:val="ListParagraph"/>
        <w:numPr>
          <w:ilvl w:val="0"/>
          <w:numId w:val="3"/>
        </w:numPr>
        <w:spacing w:after="100" w:line="250" w:lineRule="auto"/>
        <w:jc w:val="both"/>
      </w:pPr>
      <w:r>
        <w:rPr>
          <w:rFonts w:ascii="Arial" w:hAnsi="Arial"/>
          <w:sz w:val="19"/>
          <w:szCs w:val="19"/>
        </w:rPr>
        <w:t>A common benchmark of five prediction models evaluated under the same feature space and chronological validation protocol.</w:t>
      </w:r>
    </w:p>
    <w:p w:rsidR="0064788F" w:rsidRDefault="00000000">
      <w:pPr>
        <w:pStyle w:val="ListParagraph"/>
        <w:numPr>
          <w:ilvl w:val="0"/>
          <w:numId w:val="3"/>
        </w:numPr>
        <w:spacing w:after="100" w:line="250" w:lineRule="auto"/>
        <w:jc w:val="both"/>
      </w:pPr>
      <w:r>
        <w:rPr>
          <w:rFonts w:ascii="Arial" w:hAnsi="Arial"/>
          <w:sz w:val="19"/>
          <w:szCs w:val="19"/>
        </w:rPr>
        <w:t>A leakage-aware evaluation and explanation layer combining quantitative error metrics with SHAP and LIME.</w:t>
      </w:r>
    </w:p>
    <w:p w:rsidR="0064788F" w:rsidRDefault="00000000">
      <w:pPr>
        <w:pStyle w:val="ListParagraph"/>
        <w:numPr>
          <w:ilvl w:val="0"/>
          <w:numId w:val="3"/>
        </w:numPr>
        <w:spacing w:after="100" w:line="250" w:lineRule="auto"/>
        <w:jc w:val="both"/>
      </w:pPr>
      <w:r>
        <w:rPr>
          <w:rFonts w:ascii="Arial" w:hAnsi="Arial"/>
          <w:sz w:val="19"/>
          <w:szCs w:val="19"/>
        </w:rPr>
        <w:t xml:space="preserve">A </w:t>
      </w:r>
      <w:proofErr w:type="spellStart"/>
      <w:r>
        <w:rPr>
          <w:rFonts w:ascii="Arial" w:hAnsi="Arial"/>
          <w:sz w:val="19"/>
          <w:szCs w:val="19"/>
        </w:rPr>
        <w:t>Streamlit</w:t>
      </w:r>
      <w:proofErr w:type="spellEnd"/>
      <w:r>
        <w:rPr>
          <w:rFonts w:ascii="Arial" w:hAnsi="Arial"/>
          <w:sz w:val="19"/>
          <w:szCs w:val="19"/>
        </w:rPr>
        <w:t xml:space="preserve"> dashboard that converts model outputs into an interpretable research prototype rather than a prediction-only script.</w:t>
      </w:r>
    </w:p>
    <w:p w:rsidR="0064788F" w:rsidRDefault="00000000">
      <w:pPr>
        <w:keepNext/>
        <w:spacing w:before="180" w:after="100"/>
      </w:pPr>
      <w:r>
        <w:rPr>
          <w:b/>
          <w:bCs/>
          <w:i/>
          <w:iCs/>
        </w:rPr>
        <w:t>1.7 Organization of the Paper</w:t>
      </w:r>
    </w:p>
    <w:p w:rsidR="0064788F" w:rsidRDefault="00000000">
      <w:pPr>
        <w:spacing w:after="140" w:line="252" w:lineRule="auto"/>
        <w:jc w:val="both"/>
      </w:pPr>
      <w:r>
        <w:rPr>
          <w:rFonts w:ascii="Arial" w:hAnsi="Arial"/>
          <w:i/>
          <w:iCs/>
          <w:color w:val="808080"/>
          <w:sz w:val="19"/>
          <w:szCs w:val="19"/>
        </w:rPr>
        <w:t>Section 2 reviews classical and modern stock-prediction research and financial XAI. Section 3 presents the proposed data, preprocessing, feature engineering, models and mathematical formulation. Section 4 defines the experimental setup, split strategy, tuning, validation and metrics. Section 5 describes the empirical-result format and expected analyses. Section 6 discusses interpretation and implications. Section 7 states limitations. Section 8 concludes the study and identifies future work.</w:t>
      </w:r>
    </w:p>
    <w:p w:rsidR="0064788F" w:rsidRDefault="00000000">
      <w:pPr>
        <w:keepNext/>
        <w:spacing w:before="260" w:after="120"/>
      </w:pPr>
      <w:r>
        <w:rPr>
          <w:rFonts w:ascii="Arial" w:hAnsi="Arial"/>
          <w:b/>
          <w:bCs/>
          <w:color w:val="1F3864"/>
          <w:sz w:val="21"/>
          <w:szCs w:val="21"/>
        </w:rPr>
        <w:t>2. RELATED WORK</w:t>
      </w:r>
    </w:p>
    <w:p w:rsidR="0064788F" w:rsidRDefault="00000000">
      <w:pPr>
        <w:keepNext/>
        <w:spacing w:before="180" w:after="100"/>
      </w:pPr>
      <w:r>
        <w:rPr>
          <w:rFonts w:ascii="Arial" w:hAnsi="Arial"/>
          <w:b/>
          <w:bCs/>
          <w:i/>
          <w:iCs/>
        </w:rPr>
        <w:t>2.1 Existing Approaches</w:t>
      </w:r>
    </w:p>
    <w:p w:rsidR="0064788F" w:rsidRDefault="00000000">
      <w:pPr>
        <w:spacing w:after="140" w:line="252" w:lineRule="auto"/>
        <w:jc w:val="both"/>
      </w:pPr>
      <w:r>
        <w:rPr>
          <w:rFonts w:ascii="Arial" w:hAnsi="Arial"/>
          <w:i/>
          <w:iCs/>
          <w:color w:val="808080"/>
          <w:sz w:val="19"/>
          <w:szCs w:val="19"/>
        </w:rPr>
        <w:t xml:space="preserve">Classical stock forecasting commonly uses statistical or linear relationships as baselines. Linear regression models a target as a weighted combination of input variables and provides a transparent reference point. </w:t>
      </w:r>
      <w:r>
        <w:rPr>
          <w:rFonts w:ascii="Arial" w:hAnsi="Arial"/>
          <w:i/>
          <w:iCs/>
          <w:color w:val="808080"/>
          <w:sz w:val="19"/>
          <w:szCs w:val="19"/>
        </w:rPr>
        <w:t>Technical indicators such as moving averages, momentum, RSI and MACD are widely used because they are derived from observable historical prices [1], [3]. Classical baselines remain important because recent comparative evidence shows that model performance depends on market, period and data characteristics rather than on a universally best algorithm [1].</w:t>
      </w:r>
    </w:p>
    <w:p w:rsidR="0064788F" w:rsidRDefault="00000000">
      <w:pPr>
        <w:keepNext/>
        <w:spacing w:before="180" w:after="100"/>
      </w:pPr>
      <w:r>
        <w:rPr>
          <w:rFonts w:ascii="Arial" w:hAnsi="Arial"/>
          <w:b/>
          <w:bCs/>
          <w:i/>
          <w:iCs/>
        </w:rPr>
        <w:t>2.2 Machine Learning / Computational Approaches</w:t>
      </w:r>
    </w:p>
    <w:p w:rsidR="0064788F" w:rsidRDefault="00000000">
      <w:pPr>
        <w:spacing w:after="140" w:line="252" w:lineRule="auto"/>
        <w:jc w:val="both"/>
      </w:pPr>
      <w:r>
        <w:rPr>
          <w:rFonts w:ascii="Arial" w:hAnsi="Arial"/>
          <w:i/>
          <w:iCs/>
          <w:color w:val="808080"/>
          <w:sz w:val="19"/>
          <w:szCs w:val="19"/>
        </w:rPr>
        <w:t>Modern computational approaches include tree ensembles, gradient boosting, support-vector methods, neural networks and hybrid architectures. Htun et al. compare Random Forest, SVM and LSTM for S&amp;P 500 relative-return classification using temporal evaluation [2]. Zhan and Kim study sliding time windows for stock forecasting and show the importance of temporal organization [3]. Bustos et al. compare several ML families across 55 markets and 65 periods, demonstrating that predictive performance varies across markets [1]. Recent work by Kang et al. further reports that tree-based models can perform strongly in data-constrained financial settings while SHAP and LIME can identify influential predictors [4]. These studies motivate a controlled comparison of linear, tree, bagging and boosting models in the proposed framework.</w:t>
      </w:r>
    </w:p>
    <w:p w:rsidR="0064788F" w:rsidRDefault="00000000">
      <w:pPr>
        <w:keepNext/>
        <w:spacing w:before="180" w:after="100"/>
      </w:pPr>
      <w:r>
        <w:rPr>
          <w:rFonts w:ascii="Arial" w:hAnsi="Arial"/>
          <w:b/>
          <w:bCs/>
          <w:i/>
          <w:iCs/>
        </w:rPr>
        <w:t>2.3 Advanced / Alternative Approaches</w:t>
      </w:r>
    </w:p>
    <w:p w:rsidR="0064788F" w:rsidRDefault="00000000">
      <w:pPr>
        <w:spacing w:after="140" w:line="252" w:lineRule="auto"/>
        <w:jc w:val="both"/>
      </w:pPr>
      <w:r>
        <w:rPr>
          <w:rFonts w:ascii="Arial" w:hAnsi="Arial"/>
          <w:i/>
          <w:iCs/>
          <w:color w:val="808080"/>
          <w:sz w:val="19"/>
          <w:szCs w:val="19"/>
        </w:rPr>
        <w:t>Advanced alternatives include deep learning, multimodal financial-data fusion, sentiment analysis, reinforcement learning and large-language-model-based financial analytics. Such approaches can capture sequential or textual information but typically increase data, computational and validation complexity. The proposed project intentionally establishes a strong and reproducible numerical-market baseline first. Deep learning, news sentiment and multimodal data are treated as future extensions rather than mixing them into the core comparison.</w:t>
      </w:r>
    </w:p>
    <w:p w:rsidR="0064788F" w:rsidRDefault="00000000">
      <w:pPr>
        <w:keepNext/>
        <w:spacing w:before="180" w:after="100"/>
      </w:pPr>
      <w:r>
        <w:rPr>
          <w:rFonts w:ascii="Arial" w:hAnsi="Arial"/>
          <w:b/>
          <w:bCs/>
          <w:i/>
          <w:iCs/>
        </w:rPr>
        <w:t>2.4 Explainability / Interpretability</w:t>
      </w:r>
    </w:p>
    <w:p w:rsidR="0064788F" w:rsidRDefault="00000000">
      <w:pPr>
        <w:spacing w:after="140" w:line="252" w:lineRule="auto"/>
        <w:jc w:val="both"/>
      </w:pPr>
      <w:r>
        <w:rPr>
          <w:rFonts w:ascii="Arial" w:hAnsi="Arial"/>
          <w:i/>
          <w:iCs/>
          <w:color w:val="808080"/>
          <w:sz w:val="19"/>
          <w:szCs w:val="19"/>
        </w:rPr>
        <w:t>Interpretability is especially important in finance because a forecast without an explanation can be difficult to audit or trust. Financial-XAI reviews identify SHAP and LIME among the most frequently used post-hoc methods and emphasize the trade-off between predictive performance, transparency and computational cost [5], [6], [7]. Kang et al. show the value of using multiple interpretability methods, while Berger studies the information content of XAI for quantitative finance [4], [8]. The proposed framework uses SHAP for global and local feature contribution and LIME for local model-agnostic explanations, allowing users to see both which features matter generally and why a particular prediction was produced.</w:t>
      </w:r>
    </w:p>
    <w:p w:rsidR="0064788F" w:rsidRDefault="00000000">
      <w:pPr>
        <w:keepNext/>
        <w:spacing w:before="180" w:after="100"/>
      </w:pPr>
      <w:r>
        <w:rPr>
          <w:rFonts w:ascii="Arial" w:hAnsi="Arial"/>
          <w:b/>
          <w:bCs/>
          <w:i/>
          <w:iCs/>
        </w:rPr>
        <w:t>2.5 Critical Comparison</w:t>
      </w:r>
    </w:p>
    <w:p w:rsidR="0064788F" w:rsidRDefault="00000000">
      <w:pPr>
        <w:spacing w:after="140" w:line="252" w:lineRule="auto"/>
        <w:jc w:val="both"/>
      </w:pPr>
      <w:r>
        <w:rPr>
          <w:i/>
          <w:iCs/>
          <w:color w:val="808080"/>
          <w:sz w:val="19"/>
          <w:szCs w:val="19"/>
        </w:rPr>
        <w:t>Table 1 summarizes representative studies from the literature, highlighting their key contributions and limitations.</w:t>
      </w:r>
    </w:p>
    <w:p w:rsidR="0064788F" w:rsidRDefault="0064788F">
      <w:pPr>
        <w:sectPr w:rsidR="0064788F">
          <w:footerReference w:type="default" r:id="rId8"/>
          <w:type w:val="continuous"/>
          <w:pgSz w:w="12240" w:h="15840"/>
          <w:pgMar w:top="1080" w:right="1080" w:bottom="1080" w:left="1080" w:header="708" w:footer="708" w:gutter="0"/>
          <w:cols w:num="2" w:space="432"/>
          <w:docGrid w:linePitch="360"/>
        </w:sectPr>
      </w:pP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
        <w:gridCol w:w="2350"/>
        <w:gridCol w:w="3450"/>
        <w:gridCol w:w="2870"/>
      </w:tblGrid>
      <w:tr w:rsidR="0064788F">
        <w:tblPrEx>
          <w:tblCellMar>
            <w:top w:w="0" w:type="dxa"/>
            <w:bottom w:w="0" w:type="dxa"/>
          </w:tblCellMar>
        </w:tblPrEx>
        <w:trPr>
          <w:tblHeader/>
        </w:trPr>
        <w:tc>
          <w:tcPr>
            <w:tcW w:w="430" w:type="dxa"/>
            <w:shd w:val="clear" w:color="auto" w:fill="123D66"/>
            <w:tcMar>
              <w:top w:w="60" w:type="dxa"/>
              <w:left w:w="80" w:type="dxa"/>
              <w:bottom w:w="60" w:type="dxa"/>
              <w:right w:w="80" w:type="dxa"/>
            </w:tcMar>
            <w:vAlign w:val="center"/>
          </w:tcPr>
          <w:p w:rsidR="0064788F" w:rsidRDefault="00000000">
            <w:pPr>
              <w:spacing w:line="228" w:lineRule="auto"/>
            </w:pPr>
            <w:r>
              <w:rPr>
                <w:rFonts w:ascii="Arial" w:hAnsi="Arial"/>
                <w:b/>
                <w:sz w:val="15"/>
              </w:rPr>
              <w:lastRenderedPageBreak/>
              <w:t>#</w:t>
            </w:r>
          </w:p>
        </w:tc>
        <w:tc>
          <w:tcPr>
            <w:tcW w:w="2350" w:type="dxa"/>
            <w:shd w:val="clear" w:color="auto" w:fill="123D66"/>
            <w:tcMar>
              <w:top w:w="60" w:type="dxa"/>
              <w:left w:w="80" w:type="dxa"/>
              <w:bottom w:w="60" w:type="dxa"/>
              <w:right w:w="80" w:type="dxa"/>
            </w:tcMar>
            <w:vAlign w:val="center"/>
          </w:tcPr>
          <w:p w:rsidR="0064788F" w:rsidRDefault="00000000">
            <w:pPr>
              <w:spacing w:line="228" w:lineRule="auto"/>
            </w:pPr>
            <w:r>
              <w:rPr>
                <w:rFonts w:ascii="Arial" w:hAnsi="Arial"/>
                <w:b/>
                <w:sz w:val="15"/>
              </w:rPr>
              <w:t>Study / Publication</w:t>
            </w:r>
          </w:p>
        </w:tc>
        <w:tc>
          <w:tcPr>
            <w:tcW w:w="3450" w:type="dxa"/>
            <w:shd w:val="clear" w:color="auto" w:fill="123D66"/>
            <w:tcMar>
              <w:top w:w="60" w:type="dxa"/>
              <w:left w:w="80" w:type="dxa"/>
              <w:bottom w:w="60" w:type="dxa"/>
              <w:right w:w="80" w:type="dxa"/>
            </w:tcMar>
            <w:vAlign w:val="center"/>
          </w:tcPr>
          <w:p w:rsidR="0064788F" w:rsidRDefault="00000000">
            <w:pPr>
              <w:spacing w:line="228" w:lineRule="auto"/>
            </w:pPr>
            <w:r>
              <w:rPr>
                <w:rFonts w:ascii="Arial" w:hAnsi="Arial"/>
                <w:b/>
                <w:sz w:val="15"/>
              </w:rPr>
              <w:t>Key Contribution</w:t>
            </w:r>
          </w:p>
        </w:tc>
        <w:tc>
          <w:tcPr>
            <w:tcW w:w="2870" w:type="dxa"/>
            <w:shd w:val="clear" w:color="auto" w:fill="123D66"/>
            <w:tcMar>
              <w:top w:w="60" w:type="dxa"/>
              <w:left w:w="80" w:type="dxa"/>
              <w:bottom w:w="60" w:type="dxa"/>
              <w:right w:w="80" w:type="dxa"/>
            </w:tcMar>
            <w:vAlign w:val="center"/>
          </w:tcPr>
          <w:p w:rsidR="0064788F" w:rsidRDefault="00000000">
            <w:pPr>
              <w:spacing w:line="228" w:lineRule="auto"/>
            </w:pPr>
            <w:r>
              <w:rPr>
                <w:rFonts w:ascii="Arial" w:hAnsi="Arial"/>
                <w:b/>
                <w:sz w:val="15"/>
              </w:rPr>
              <w:t>Limitation</w:t>
            </w:r>
          </w:p>
        </w:tc>
      </w:tr>
      <w:tr w:rsidR="0064788F">
        <w:tblPrEx>
          <w:tblCellMar>
            <w:top w:w="0" w:type="dxa"/>
            <w:bottom w:w="0" w:type="dxa"/>
          </w:tblCellMar>
        </w:tblPrEx>
        <w:tc>
          <w:tcPr>
            <w:tcW w:w="43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b/>
                <w:sz w:val="13"/>
              </w:rPr>
              <w:t>1</w:t>
            </w:r>
          </w:p>
        </w:tc>
        <w:tc>
          <w:tcPr>
            <w:tcW w:w="235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3"/>
              </w:rPr>
              <w:t xml:space="preserve">Bustos, Pomares-Quimbaya &amp; </w:t>
            </w:r>
            <w:proofErr w:type="spellStart"/>
            <w:r>
              <w:rPr>
                <w:rFonts w:ascii="Arial" w:hAnsi="Arial"/>
                <w:sz w:val="13"/>
              </w:rPr>
              <w:t>Stellian</w:t>
            </w:r>
            <w:proofErr w:type="spellEnd"/>
            <w:r>
              <w:rPr>
                <w:rFonts w:ascii="Arial" w:hAnsi="Arial"/>
                <w:sz w:val="13"/>
              </w:rPr>
              <w:t>, International Journal of Data Science and Analytics, 2025 [1]</w:t>
            </w:r>
          </w:p>
        </w:tc>
        <w:tc>
          <w:tcPr>
            <w:tcW w:w="345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3"/>
              </w:rPr>
              <w:t>Compares SVM, ANN, gradient boosting, Naive Bayes, RF, LR and LSTM across 55 markets and 65 periods.</w:t>
            </w:r>
          </w:p>
        </w:tc>
        <w:tc>
          <w:tcPr>
            <w:tcW w:w="287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3"/>
              </w:rPr>
              <w:t xml:space="preserve">Broad index-level study; does not provide the proposed SHAP+LIME </w:t>
            </w:r>
            <w:proofErr w:type="spellStart"/>
            <w:r>
              <w:rPr>
                <w:rFonts w:ascii="Arial" w:hAnsi="Arial"/>
                <w:sz w:val="13"/>
              </w:rPr>
              <w:t>Streamlit</w:t>
            </w:r>
            <w:proofErr w:type="spellEnd"/>
            <w:r>
              <w:rPr>
                <w:rFonts w:ascii="Arial" w:hAnsi="Arial"/>
                <w:sz w:val="13"/>
              </w:rPr>
              <w:t xml:space="preserve"> workflow.</w:t>
            </w:r>
          </w:p>
        </w:tc>
      </w:tr>
      <w:tr w:rsidR="0064788F">
        <w:tblPrEx>
          <w:tblCellMar>
            <w:top w:w="0" w:type="dxa"/>
            <w:bottom w:w="0" w:type="dxa"/>
          </w:tblCellMar>
        </w:tblPrEx>
        <w:tc>
          <w:tcPr>
            <w:tcW w:w="43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b/>
                <w:sz w:val="13"/>
              </w:rPr>
              <w:t>2</w:t>
            </w:r>
          </w:p>
        </w:tc>
        <w:tc>
          <w:tcPr>
            <w:tcW w:w="235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sz w:val="13"/>
              </w:rPr>
              <w:t>Htun, Biehl &amp; Petkov, Financial Innovation, 2024 [2]</w:t>
            </w:r>
          </w:p>
        </w:tc>
        <w:tc>
          <w:tcPr>
            <w:tcW w:w="345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sz w:val="13"/>
              </w:rPr>
              <w:t>Compares RF, SVM and LSTM for S&amp;P 500 relative-return classification with temporal evaluation.</w:t>
            </w:r>
          </w:p>
        </w:tc>
        <w:tc>
          <w:tcPr>
            <w:tcW w:w="287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sz w:val="13"/>
              </w:rPr>
              <w:t>Different target/horizon; no next-day price regression or integrated dashboard.</w:t>
            </w:r>
          </w:p>
        </w:tc>
      </w:tr>
      <w:tr w:rsidR="0064788F">
        <w:tblPrEx>
          <w:tblCellMar>
            <w:top w:w="0" w:type="dxa"/>
            <w:bottom w:w="0" w:type="dxa"/>
          </w:tblCellMar>
        </w:tblPrEx>
        <w:tc>
          <w:tcPr>
            <w:tcW w:w="43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b/>
                <w:sz w:val="13"/>
              </w:rPr>
              <w:t>3</w:t>
            </w:r>
          </w:p>
        </w:tc>
        <w:tc>
          <w:tcPr>
            <w:tcW w:w="235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3"/>
              </w:rPr>
              <w:t>Zhan &amp; Kim, Artificial Intelligence Review, 2024 [3]</w:t>
            </w:r>
          </w:p>
        </w:tc>
        <w:tc>
          <w:tcPr>
            <w:tcW w:w="345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3"/>
              </w:rPr>
              <w:t>Studies sliding time-window ML techniques for stock forecasting and emphasizes temporal organization.</w:t>
            </w:r>
          </w:p>
        </w:tc>
        <w:tc>
          <w:tcPr>
            <w:tcW w:w="287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3"/>
              </w:rPr>
              <w:t>Focuses on LSTM/window strategies rather than the proposed five-model comparative XAI pipeline.</w:t>
            </w:r>
          </w:p>
        </w:tc>
      </w:tr>
      <w:tr w:rsidR="0064788F">
        <w:tblPrEx>
          <w:tblCellMar>
            <w:top w:w="0" w:type="dxa"/>
            <w:bottom w:w="0" w:type="dxa"/>
          </w:tblCellMar>
        </w:tblPrEx>
        <w:tc>
          <w:tcPr>
            <w:tcW w:w="43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b/>
                <w:sz w:val="13"/>
              </w:rPr>
              <w:t>4</w:t>
            </w:r>
          </w:p>
        </w:tc>
        <w:tc>
          <w:tcPr>
            <w:tcW w:w="235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sz w:val="13"/>
              </w:rPr>
              <w:t>Kang, Ryu &amp; Webb, Financial Innovation, 2025 [4]</w:t>
            </w:r>
          </w:p>
        </w:tc>
        <w:tc>
          <w:tcPr>
            <w:tcW w:w="345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sz w:val="13"/>
              </w:rPr>
              <w:t>Shows tree-based models can perform strongly in finance and uses PFI, SHAP and LIME for interpretation.</w:t>
            </w:r>
          </w:p>
        </w:tc>
        <w:tc>
          <w:tcPr>
            <w:tcW w:w="287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sz w:val="13"/>
              </w:rPr>
              <w:t>Focus is Korean equity returns and a broader predictor set; proposed project targets a reproducible next-day stock-price workflow.</w:t>
            </w:r>
          </w:p>
        </w:tc>
      </w:tr>
      <w:tr w:rsidR="0064788F">
        <w:tblPrEx>
          <w:tblCellMar>
            <w:top w:w="0" w:type="dxa"/>
            <w:bottom w:w="0" w:type="dxa"/>
          </w:tblCellMar>
        </w:tblPrEx>
        <w:tc>
          <w:tcPr>
            <w:tcW w:w="43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b/>
                <w:sz w:val="13"/>
              </w:rPr>
              <w:t>5</w:t>
            </w:r>
          </w:p>
        </w:tc>
        <w:tc>
          <w:tcPr>
            <w:tcW w:w="235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3"/>
              </w:rPr>
              <w:t>Khan et al., Artificial Intelligence Review, 2025 [5]</w:t>
            </w:r>
          </w:p>
        </w:tc>
        <w:tc>
          <w:tcPr>
            <w:tcW w:w="345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3"/>
              </w:rPr>
              <w:t>Systematically reviews model-agnostic XAI methods in finance, including SHAP and LIME.</w:t>
            </w:r>
          </w:p>
        </w:tc>
        <w:tc>
          <w:tcPr>
            <w:tcW w:w="287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3"/>
              </w:rPr>
              <w:t>Review paper; does not implement the proposed stock-prediction application.</w:t>
            </w:r>
          </w:p>
        </w:tc>
      </w:tr>
      <w:tr w:rsidR="0064788F">
        <w:tblPrEx>
          <w:tblCellMar>
            <w:top w:w="0" w:type="dxa"/>
            <w:bottom w:w="0" w:type="dxa"/>
          </w:tblCellMar>
        </w:tblPrEx>
        <w:tc>
          <w:tcPr>
            <w:tcW w:w="430" w:type="dxa"/>
            <w:shd w:val="clear" w:color="auto" w:fill="EEF5F5"/>
            <w:vAlign w:val="center"/>
          </w:tcPr>
          <w:p w:rsidR="0064788F" w:rsidRDefault="00000000">
            <w:pPr>
              <w:spacing w:line="228" w:lineRule="auto"/>
            </w:pPr>
            <w:r>
              <w:rPr>
                <w:rFonts w:ascii="Arial" w:hAnsi="Arial"/>
                <w:b/>
                <w:sz w:val="13"/>
              </w:rPr>
              <w:t>6</w:t>
            </w:r>
          </w:p>
        </w:tc>
        <w:tc>
          <w:tcPr>
            <w:tcW w:w="2350" w:type="dxa"/>
            <w:shd w:val="clear" w:color="auto" w:fill="EEF5F5"/>
            <w:vAlign w:val="center"/>
          </w:tcPr>
          <w:p w:rsidR="0064788F" w:rsidRDefault="00000000">
            <w:pPr>
              <w:spacing w:line="228" w:lineRule="auto"/>
            </w:pPr>
            <w:r>
              <w:rPr>
                <w:rFonts w:ascii="Arial" w:hAnsi="Arial"/>
                <w:sz w:val="13"/>
              </w:rPr>
              <w:t>Yeo et al., Artificial Intelligence Review, 2025 [6]</w:t>
            </w:r>
          </w:p>
        </w:tc>
        <w:tc>
          <w:tcPr>
            <w:tcW w:w="3450" w:type="dxa"/>
            <w:shd w:val="clear" w:color="auto" w:fill="EEF5F5"/>
            <w:vAlign w:val="center"/>
          </w:tcPr>
          <w:p w:rsidR="0064788F" w:rsidRDefault="00000000">
            <w:pPr>
              <w:spacing w:line="228" w:lineRule="auto"/>
            </w:pPr>
            <w:r>
              <w:rPr>
                <w:rFonts w:ascii="Arial" w:hAnsi="Arial"/>
                <w:sz w:val="13"/>
              </w:rPr>
              <w:t>Surveys explainable AI in finance and the transparency/performance trade-off.</w:t>
            </w:r>
          </w:p>
        </w:tc>
        <w:tc>
          <w:tcPr>
            <w:tcW w:w="2870" w:type="dxa"/>
            <w:shd w:val="clear" w:color="auto" w:fill="EEF5F5"/>
            <w:vAlign w:val="center"/>
          </w:tcPr>
          <w:p w:rsidR="0064788F" w:rsidRDefault="00000000">
            <w:pPr>
              <w:spacing w:line="228" w:lineRule="auto"/>
            </w:pPr>
            <w:r>
              <w:rPr>
                <w:rFonts w:ascii="Arial" w:hAnsi="Arial"/>
                <w:sz w:val="13"/>
              </w:rPr>
              <w:t>Primarily a review; does not provide the proposed comparative dashboard.</w:t>
            </w:r>
          </w:p>
        </w:tc>
      </w:tr>
      <w:tr w:rsidR="0064788F">
        <w:tblPrEx>
          <w:tblCellMar>
            <w:top w:w="0" w:type="dxa"/>
            <w:bottom w:w="0" w:type="dxa"/>
          </w:tblCellMar>
        </w:tblPrEx>
        <w:tc>
          <w:tcPr>
            <w:tcW w:w="430" w:type="dxa"/>
            <w:vAlign w:val="center"/>
          </w:tcPr>
          <w:p w:rsidR="0064788F" w:rsidRDefault="00000000">
            <w:pPr>
              <w:spacing w:line="228" w:lineRule="auto"/>
            </w:pPr>
            <w:r>
              <w:rPr>
                <w:rFonts w:ascii="Arial" w:hAnsi="Arial"/>
                <w:b/>
                <w:sz w:val="13"/>
              </w:rPr>
              <w:t>7</w:t>
            </w:r>
          </w:p>
        </w:tc>
        <w:tc>
          <w:tcPr>
            <w:tcW w:w="2350" w:type="dxa"/>
            <w:vAlign w:val="center"/>
          </w:tcPr>
          <w:p w:rsidR="0064788F" w:rsidRDefault="00000000">
            <w:pPr>
              <w:spacing w:line="228" w:lineRule="auto"/>
            </w:pPr>
            <w:proofErr w:type="spellStart"/>
            <w:r>
              <w:rPr>
                <w:rFonts w:ascii="Arial" w:hAnsi="Arial"/>
                <w:sz w:val="13"/>
              </w:rPr>
              <w:t>Černevičienė</w:t>
            </w:r>
            <w:proofErr w:type="spellEnd"/>
            <w:r>
              <w:rPr>
                <w:rFonts w:ascii="Arial" w:hAnsi="Arial"/>
                <w:sz w:val="13"/>
              </w:rPr>
              <w:t xml:space="preserve"> &amp; </w:t>
            </w:r>
            <w:proofErr w:type="spellStart"/>
            <w:r>
              <w:rPr>
                <w:rFonts w:ascii="Arial" w:hAnsi="Arial"/>
                <w:sz w:val="13"/>
              </w:rPr>
              <w:t>Kabašinskas</w:t>
            </w:r>
            <w:proofErr w:type="spellEnd"/>
            <w:r>
              <w:rPr>
                <w:rFonts w:ascii="Arial" w:hAnsi="Arial"/>
                <w:sz w:val="13"/>
              </w:rPr>
              <w:t>, Artificial Intelligence Review, 2024 [7]</w:t>
            </w:r>
          </w:p>
        </w:tc>
        <w:tc>
          <w:tcPr>
            <w:tcW w:w="3450" w:type="dxa"/>
            <w:vAlign w:val="center"/>
          </w:tcPr>
          <w:p w:rsidR="0064788F" w:rsidRDefault="00000000">
            <w:pPr>
              <w:spacing w:line="228" w:lineRule="auto"/>
            </w:pPr>
            <w:r>
              <w:rPr>
                <w:rFonts w:ascii="Arial" w:hAnsi="Arial"/>
                <w:sz w:val="13"/>
              </w:rPr>
              <w:t>Reviews XAI applications in finance and identifies SHAP and LIME as common explanation methods.</w:t>
            </w:r>
          </w:p>
        </w:tc>
        <w:tc>
          <w:tcPr>
            <w:tcW w:w="2870" w:type="dxa"/>
            <w:vAlign w:val="center"/>
          </w:tcPr>
          <w:p w:rsidR="0064788F" w:rsidRDefault="00000000">
            <w:pPr>
              <w:spacing w:line="228" w:lineRule="auto"/>
            </w:pPr>
            <w:r>
              <w:rPr>
                <w:rFonts w:ascii="Arial" w:hAnsi="Arial"/>
                <w:sz w:val="13"/>
              </w:rPr>
              <w:t>Literature synthesis rather than an end-to-end predictive implementation.</w:t>
            </w:r>
          </w:p>
        </w:tc>
      </w:tr>
      <w:tr w:rsidR="0064788F">
        <w:tblPrEx>
          <w:tblCellMar>
            <w:top w:w="0" w:type="dxa"/>
            <w:bottom w:w="0" w:type="dxa"/>
          </w:tblCellMar>
        </w:tblPrEx>
        <w:tc>
          <w:tcPr>
            <w:tcW w:w="430" w:type="dxa"/>
            <w:shd w:val="clear" w:color="auto" w:fill="EEF5F5"/>
            <w:vAlign w:val="center"/>
          </w:tcPr>
          <w:p w:rsidR="0064788F" w:rsidRDefault="00000000">
            <w:pPr>
              <w:spacing w:line="228" w:lineRule="auto"/>
            </w:pPr>
            <w:r>
              <w:rPr>
                <w:rFonts w:ascii="Arial" w:hAnsi="Arial"/>
                <w:b/>
                <w:sz w:val="13"/>
              </w:rPr>
              <w:t>8</w:t>
            </w:r>
          </w:p>
        </w:tc>
        <w:tc>
          <w:tcPr>
            <w:tcW w:w="2350" w:type="dxa"/>
            <w:shd w:val="clear" w:color="auto" w:fill="EEF5F5"/>
            <w:vAlign w:val="center"/>
          </w:tcPr>
          <w:p w:rsidR="0064788F" w:rsidRDefault="00000000">
            <w:pPr>
              <w:spacing w:line="228" w:lineRule="auto"/>
            </w:pPr>
            <w:r>
              <w:rPr>
                <w:rFonts w:ascii="Arial" w:hAnsi="Arial"/>
                <w:sz w:val="13"/>
              </w:rPr>
              <w:t>Berger, OR Spectrum, 2025 [8]</w:t>
            </w:r>
          </w:p>
        </w:tc>
        <w:tc>
          <w:tcPr>
            <w:tcW w:w="3450" w:type="dxa"/>
            <w:shd w:val="clear" w:color="auto" w:fill="EEF5F5"/>
            <w:vAlign w:val="center"/>
          </w:tcPr>
          <w:p w:rsidR="0064788F" w:rsidRDefault="00000000">
            <w:pPr>
              <w:spacing w:line="228" w:lineRule="auto"/>
            </w:pPr>
            <w:r>
              <w:rPr>
                <w:rFonts w:ascii="Arial" w:hAnsi="Arial"/>
                <w:sz w:val="13"/>
              </w:rPr>
              <w:t>Examines information content of XAI for quantitative finance and compares SHAP/LIME with linear benchmarks.</w:t>
            </w:r>
          </w:p>
        </w:tc>
        <w:tc>
          <w:tcPr>
            <w:tcW w:w="2870" w:type="dxa"/>
            <w:shd w:val="clear" w:color="auto" w:fill="EEF5F5"/>
            <w:vAlign w:val="center"/>
          </w:tcPr>
          <w:p w:rsidR="0064788F" w:rsidRDefault="00000000">
            <w:pPr>
              <w:spacing w:line="228" w:lineRule="auto"/>
            </w:pPr>
            <w:r>
              <w:rPr>
                <w:rFonts w:ascii="Arial" w:hAnsi="Arial"/>
                <w:sz w:val="13"/>
              </w:rPr>
              <w:t>Focuses on equity-premium information rather than next-day individual-stock price forecasting.</w:t>
            </w:r>
          </w:p>
        </w:tc>
      </w:tr>
      <w:tr w:rsidR="0064788F">
        <w:tblPrEx>
          <w:tblCellMar>
            <w:top w:w="0" w:type="dxa"/>
            <w:bottom w:w="0" w:type="dxa"/>
          </w:tblCellMar>
        </w:tblPrEx>
        <w:tc>
          <w:tcPr>
            <w:tcW w:w="430" w:type="dxa"/>
            <w:vAlign w:val="center"/>
          </w:tcPr>
          <w:p w:rsidR="0064788F" w:rsidRDefault="00000000">
            <w:pPr>
              <w:spacing w:line="228" w:lineRule="auto"/>
            </w:pPr>
            <w:r>
              <w:rPr>
                <w:rFonts w:ascii="Arial" w:hAnsi="Arial"/>
                <w:b/>
                <w:sz w:val="13"/>
              </w:rPr>
              <w:t>9</w:t>
            </w:r>
          </w:p>
        </w:tc>
        <w:tc>
          <w:tcPr>
            <w:tcW w:w="2350" w:type="dxa"/>
            <w:vAlign w:val="center"/>
          </w:tcPr>
          <w:p w:rsidR="0064788F" w:rsidRDefault="00000000">
            <w:pPr>
              <w:spacing w:line="228" w:lineRule="auto"/>
            </w:pPr>
            <w:r>
              <w:rPr>
                <w:rFonts w:ascii="Arial" w:hAnsi="Arial"/>
                <w:sz w:val="13"/>
              </w:rPr>
              <w:t>IEEE ICAIT, Stock Market Price Prediction Using Machine Learning, 2024 [9]</w:t>
            </w:r>
          </w:p>
        </w:tc>
        <w:tc>
          <w:tcPr>
            <w:tcW w:w="3450" w:type="dxa"/>
            <w:vAlign w:val="center"/>
          </w:tcPr>
          <w:p w:rsidR="0064788F" w:rsidRDefault="00000000">
            <w:pPr>
              <w:spacing w:line="228" w:lineRule="auto"/>
            </w:pPr>
            <w:r>
              <w:rPr>
                <w:rFonts w:ascii="Arial" w:hAnsi="Arial"/>
                <w:sz w:val="13"/>
              </w:rPr>
              <w:t>Studies ML-based stock-price prediction and motivates comparative algorithmic forecasting.</w:t>
            </w:r>
          </w:p>
        </w:tc>
        <w:tc>
          <w:tcPr>
            <w:tcW w:w="2870" w:type="dxa"/>
            <w:vAlign w:val="center"/>
          </w:tcPr>
          <w:p w:rsidR="0064788F" w:rsidRDefault="00000000">
            <w:pPr>
              <w:spacing w:line="228" w:lineRule="auto"/>
            </w:pPr>
            <w:r>
              <w:rPr>
                <w:rFonts w:ascii="Arial" w:hAnsi="Arial"/>
                <w:sz w:val="13"/>
              </w:rPr>
              <w:t>Limited detail on dual XAI and leakage-aware evaluation in the published abstract.</w:t>
            </w:r>
          </w:p>
        </w:tc>
      </w:tr>
      <w:tr w:rsidR="0064788F">
        <w:tblPrEx>
          <w:tblCellMar>
            <w:top w:w="0" w:type="dxa"/>
            <w:bottom w:w="0" w:type="dxa"/>
          </w:tblCellMar>
        </w:tblPrEx>
        <w:tc>
          <w:tcPr>
            <w:tcW w:w="430" w:type="dxa"/>
            <w:shd w:val="clear" w:color="auto" w:fill="EEF5F5"/>
            <w:vAlign w:val="center"/>
          </w:tcPr>
          <w:p w:rsidR="0064788F" w:rsidRDefault="00000000">
            <w:pPr>
              <w:spacing w:line="228" w:lineRule="auto"/>
            </w:pPr>
            <w:r>
              <w:rPr>
                <w:rFonts w:ascii="Arial" w:hAnsi="Arial"/>
                <w:b/>
                <w:sz w:val="13"/>
              </w:rPr>
              <w:t>10</w:t>
            </w:r>
          </w:p>
        </w:tc>
        <w:tc>
          <w:tcPr>
            <w:tcW w:w="2350" w:type="dxa"/>
            <w:shd w:val="clear" w:color="auto" w:fill="EEF5F5"/>
            <w:vAlign w:val="center"/>
          </w:tcPr>
          <w:p w:rsidR="0064788F" w:rsidRDefault="00000000">
            <w:pPr>
              <w:spacing w:line="228" w:lineRule="auto"/>
            </w:pPr>
            <w:r>
              <w:rPr>
                <w:rFonts w:ascii="Arial" w:hAnsi="Arial"/>
                <w:sz w:val="13"/>
              </w:rPr>
              <w:t>IEEE IETACS, Empirical Analysis of AI Methods of Forecasting Financial Time Series, 2025 [10]</w:t>
            </w:r>
          </w:p>
        </w:tc>
        <w:tc>
          <w:tcPr>
            <w:tcW w:w="3450" w:type="dxa"/>
            <w:shd w:val="clear" w:color="auto" w:fill="EEF5F5"/>
            <w:vAlign w:val="center"/>
          </w:tcPr>
          <w:p w:rsidR="0064788F" w:rsidRDefault="00000000">
            <w:pPr>
              <w:spacing w:line="228" w:lineRule="auto"/>
            </w:pPr>
            <w:r>
              <w:rPr>
                <w:rFonts w:ascii="Arial" w:hAnsi="Arial"/>
                <w:sz w:val="13"/>
              </w:rPr>
              <w:t>Compares AI approaches for financial time-series forecasting and discusses accuracy and volatility sensitivity.</w:t>
            </w:r>
          </w:p>
        </w:tc>
        <w:tc>
          <w:tcPr>
            <w:tcW w:w="2870" w:type="dxa"/>
            <w:shd w:val="clear" w:color="auto" w:fill="EEF5F5"/>
            <w:vAlign w:val="center"/>
          </w:tcPr>
          <w:p w:rsidR="0064788F" w:rsidRDefault="00000000">
            <w:pPr>
              <w:spacing w:line="228" w:lineRule="auto"/>
            </w:pPr>
            <w:r>
              <w:rPr>
                <w:rFonts w:ascii="Arial" w:hAnsi="Arial"/>
                <w:sz w:val="13"/>
              </w:rPr>
              <w:t>Broader mixed financial setting; does not match the proposed five-model + SHAP/LIME dashboard architecture.</w:t>
            </w:r>
          </w:p>
        </w:tc>
      </w:tr>
    </w:tbl>
    <w:p w:rsidR="0064788F" w:rsidRDefault="00000000">
      <w:pPr>
        <w:spacing w:before="80" w:after="200"/>
        <w:jc w:val="center"/>
      </w:pPr>
      <w:r>
        <w:rPr>
          <w:rFonts w:ascii="Arial" w:hAnsi="Arial"/>
          <w:i/>
          <w:iCs/>
          <w:sz w:val="18"/>
          <w:szCs w:val="18"/>
        </w:rPr>
        <w:t>Table 1. Representative recent studies in machine-learning stock prediction and financial explainable AI, with their contributions and limitations.</w:t>
      </w:r>
    </w:p>
    <w:p w:rsidR="0064788F" w:rsidRDefault="0064788F">
      <w:pPr>
        <w:sectPr w:rsidR="0064788F">
          <w:footerReference w:type="default" r:id="rId9"/>
          <w:type w:val="continuous"/>
          <w:pgSz w:w="12240" w:h="15840"/>
          <w:pgMar w:top="1080" w:right="1080" w:bottom="1080" w:left="1080" w:header="708" w:footer="708" w:gutter="0"/>
          <w:cols w:space="432"/>
          <w:docGrid w:linePitch="360"/>
        </w:sectPr>
      </w:pPr>
    </w:p>
    <w:p w:rsidR="0064788F" w:rsidRDefault="00000000">
      <w:pPr>
        <w:keepNext/>
        <w:spacing w:before="180" w:after="100"/>
      </w:pPr>
      <w:r>
        <w:rPr>
          <w:rFonts w:ascii="Arial" w:hAnsi="Arial"/>
          <w:b/>
          <w:bCs/>
          <w:i/>
          <w:iCs/>
        </w:rPr>
        <w:t>The literature indicates that stock prediction benefits from nonlinear models and technical features, but there is no universally dominant algorithm across markets [1]–[3]. At the same time, financial XAI research emphasizes transparent post-hoc explanations but often studies explainability separately from an end-to-end student-level forecasting dashboard [5]–[8]. The proposed framework closes this gap by combining chronological validation, five ML models, financial feature engineering, dual XAI, and interactive visualization in one reproducible pipeline.</w:t>
      </w:r>
    </w:p>
    <w:p w:rsidR="0064788F" w:rsidRDefault="00000000">
      <w:pPr>
        <w:spacing w:after="140" w:line="252" w:lineRule="auto"/>
        <w:jc w:val="both"/>
      </w:pPr>
      <w:r>
        <w:rPr>
          <w:i/>
          <w:iCs/>
          <w:color w:val="808080"/>
          <w:sz w:val="19"/>
          <w:szCs w:val="19"/>
        </w:rPr>
        <w:t>[ 3–4 sentences tying the literature review together and restating how your framework closes the identified gaps. ]</w:t>
      </w:r>
    </w:p>
    <w:p w:rsidR="0064788F" w:rsidRDefault="00000000">
      <w:pPr>
        <w:keepNext/>
        <w:spacing w:before="260" w:after="120"/>
      </w:pPr>
      <w:r>
        <w:rPr>
          <w:rFonts w:ascii="Arial" w:hAnsi="Arial"/>
          <w:b/>
          <w:bCs/>
          <w:color w:val="1F3864"/>
          <w:sz w:val="21"/>
          <w:szCs w:val="21"/>
        </w:rPr>
        <w:t>3. PROPOSED METHODOLOGY</w:t>
      </w:r>
    </w:p>
    <w:p w:rsidR="0064788F" w:rsidRDefault="00000000">
      <w:pPr>
        <w:keepNext/>
        <w:spacing w:before="180" w:after="100"/>
      </w:pPr>
      <w:r>
        <w:rPr>
          <w:rFonts w:ascii="Arial" w:hAnsi="Arial"/>
          <w:b/>
          <w:bCs/>
          <w:i/>
          <w:iCs/>
        </w:rPr>
        <w:t>3.1 Overall Framework</w:t>
      </w:r>
    </w:p>
    <w:p w:rsidR="0064788F" w:rsidRDefault="00000000">
      <w:pPr>
        <w:spacing w:after="140" w:line="252" w:lineRule="auto"/>
        <w:jc w:val="both"/>
      </w:pPr>
      <w:r>
        <w:rPr>
          <w:rFonts w:ascii="Arial" w:hAnsi="Arial"/>
          <w:i/>
          <w:iCs/>
          <w:color w:val="808080"/>
          <w:sz w:val="19"/>
          <w:szCs w:val="19"/>
        </w:rPr>
        <w:t xml:space="preserve">The proposed framework follows the sequence: User Stock/Ticker → </w:t>
      </w:r>
      <w:proofErr w:type="spellStart"/>
      <w:r>
        <w:rPr>
          <w:rFonts w:ascii="Arial" w:hAnsi="Arial"/>
          <w:i/>
          <w:iCs/>
          <w:color w:val="808080"/>
          <w:sz w:val="19"/>
          <w:szCs w:val="19"/>
        </w:rPr>
        <w:t>yFinance</w:t>
      </w:r>
      <w:proofErr w:type="spellEnd"/>
      <w:r>
        <w:rPr>
          <w:rFonts w:ascii="Arial" w:hAnsi="Arial"/>
          <w:i/>
          <w:iCs/>
          <w:color w:val="808080"/>
          <w:sz w:val="19"/>
          <w:szCs w:val="19"/>
        </w:rPr>
        <w:t xml:space="preserve"> Data Collection → Data Cleaning → EDA → Feature Engineering → Feature Selection → Chronological Train/Test Split → Linear Regression / Decision Tree / Random Forest / </w:t>
      </w:r>
      <w:proofErr w:type="spellStart"/>
      <w:r>
        <w:rPr>
          <w:rFonts w:ascii="Arial" w:hAnsi="Arial"/>
          <w:i/>
          <w:iCs/>
          <w:color w:val="808080"/>
          <w:sz w:val="19"/>
          <w:szCs w:val="19"/>
        </w:rPr>
        <w:t>XGBoost</w:t>
      </w:r>
      <w:proofErr w:type="spellEnd"/>
      <w:r>
        <w:rPr>
          <w:rFonts w:ascii="Arial" w:hAnsi="Arial"/>
          <w:i/>
          <w:iCs/>
          <w:color w:val="808080"/>
          <w:sz w:val="19"/>
          <w:szCs w:val="19"/>
        </w:rPr>
        <w:t xml:space="preserve"> / </w:t>
      </w:r>
      <w:proofErr w:type="spellStart"/>
      <w:r>
        <w:rPr>
          <w:rFonts w:ascii="Arial" w:hAnsi="Arial"/>
          <w:i/>
          <w:iCs/>
          <w:color w:val="808080"/>
          <w:sz w:val="19"/>
          <w:szCs w:val="19"/>
        </w:rPr>
        <w:t>CatBoost</w:t>
      </w:r>
      <w:proofErr w:type="spellEnd"/>
      <w:r>
        <w:rPr>
          <w:rFonts w:ascii="Arial" w:hAnsi="Arial"/>
          <w:i/>
          <w:iCs/>
          <w:color w:val="808080"/>
          <w:sz w:val="19"/>
          <w:szCs w:val="19"/>
        </w:rPr>
        <w:t xml:space="preserve"> → Performance Evaluation → SHAP + LIME → </w:t>
      </w:r>
      <w:proofErr w:type="spellStart"/>
      <w:r>
        <w:rPr>
          <w:rFonts w:ascii="Arial" w:hAnsi="Arial"/>
          <w:i/>
          <w:iCs/>
          <w:color w:val="808080"/>
          <w:sz w:val="19"/>
          <w:szCs w:val="19"/>
        </w:rPr>
        <w:t>Streamlit</w:t>
      </w:r>
      <w:proofErr w:type="spellEnd"/>
      <w:r>
        <w:rPr>
          <w:rFonts w:ascii="Arial" w:hAnsi="Arial"/>
          <w:i/>
          <w:iCs/>
          <w:color w:val="808080"/>
          <w:sz w:val="19"/>
          <w:szCs w:val="19"/>
        </w:rPr>
        <w:t xml:space="preserve"> Dashboard → Prediction + Signal + Insights. The architecture is designed so that no information from the future test period is used during training or feature-scaling decisions.</w:t>
      </w:r>
    </w:p>
    <w:p w:rsidR="0064788F" w:rsidRDefault="0064788F">
      <w:pPr>
        <w:spacing w:before="160" w:after="40"/>
        <w:jc w:val="center"/>
      </w:pPr>
    </w:p>
    <w:tbl>
      <w:tblPr>
        <w:tblW w:w="4500"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14"/>
      </w:tblGrid>
      <w:tr w:rsidR="0064788F">
        <w:tblPrEx>
          <w:tblCellMar>
            <w:top w:w="0" w:type="dxa"/>
            <w:bottom w:w="0" w:type="dxa"/>
          </w:tblCellMar>
        </w:tblPrEx>
        <w:trPr>
          <w:jc w:val="center"/>
        </w:trPr>
        <w:tc>
          <w:tcPr>
            <w:tcW w:w="0" w:type="auto"/>
            <w:vAlign w:val="center"/>
          </w:tcPr>
          <w:p w:rsidR="0064788F" w:rsidRDefault="00000000">
            <w:pPr>
              <w:jc w:val="center"/>
            </w:pPr>
            <w:r>
              <w:rPr>
                <w:noProof/>
              </w:rPr>
              <w:drawing>
                <wp:inline distT="0" distB="0" distL="0" distR="0">
                  <wp:extent cx="6309360" cy="2663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_architecture.png"/>
                          <pic:cNvPicPr/>
                        </pic:nvPicPr>
                        <pic:blipFill>
                          <a:blip r:embed="rId10"/>
                          <a:stretch>
                            <a:fillRect/>
                          </a:stretch>
                        </pic:blipFill>
                        <pic:spPr>
                          <a:xfrm>
                            <a:off x="0" y="0"/>
                            <a:ext cx="6309360" cy="2663952"/>
                          </a:xfrm>
                          <a:prstGeom prst="rect">
                            <a:avLst/>
                          </a:prstGeom>
                        </pic:spPr>
                      </pic:pic>
                    </a:graphicData>
                  </a:graphic>
                </wp:inline>
              </w:drawing>
            </w:r>
          </w:p>
        </w:tc>
      </w:tr>
      <w:tr w:rsidR="0064788F">
        <w:tblPrEx>
          <w:tblCellMar>
            <w:top w:w="0" w:type="dxa"/>
            <w:bottom w:w="0" w:type="dxa"/>
          </w:tblCellMar>
        </w:tblPrEx>
        <w:trPr>
          <w:jc w:val="center"/>
        </w:trPr>
        <w:tc>
          <w:tcPr>
            <w:tcW w:w="0" w:type="auto"/>
          </w:tcPr>
          <w:p w:rsidR="0064788F" w:rsidRDefault="0064788F">
            <w:pPr>
              <w:jc w:val="center"/>
            </w:pPr>
          </w:p>
        </w:tc>
      </w:tr>
      <w:tr w:rsidR="0064788F">
        <w:tblPrEx>
          <w:tblCellMar>
            <w:top w:w="0" w:type="dxa"/>
            <w:bottom w:w="0" w:type="dxa"/>
          </w:tblCellMar>
        </w:tblPrEx>
        <w:trPr>
          <w:jc w:val="center"/>
        </w:trPr>
        <w:tc>
          <w:tcPr>
            <w:tcW w:w="0" w:type="auto"/>
          </w:tcPr>
          <w:p w:rsidR="0064788F" w:rsidRDefault="0064788F">
            <w:pPr>
              <w:jc w:val="center"/>
            </w:pPr>
          </w:p>
        </w:tc>
      </w:tr>
      <w:tr w:rsidR="0064788F">
        <w:tblPrEx>
          <w:tblCellMar>
            <w:top w:w="0" w:type="dxa"/>
            <w:bottom w:w="0" w:type="dxa"/>
          </w:tblCellMar>
        </w:tblPrEx>
        <w:trPr>
          <w:jc w:val="center"/>
        </w:trPr>
        <w:tc>
          <w:tcPr>
            <w:tcW w:w="0" w:type="auto"/>
          </w:tcPr>
          <w:p w:rsidR="0064788F" w:rsidRDefault="00000000">
            <w:pPr>
              <w:jc w:val="center"/>
            </w:pPr>
            <w:r>
              <w:rPr>
                <w:i/>
                <w:iCs/>
                <w:color w:val="808080"/>
                <w:sz w:val="18"/>
                <w:szCs w:val="18"/>
              </w:rPr>
              <w:t>[ Figure 1 — Overall framework / pipeline diagram ]</w:t>
            </w:r>
          </w:p>
        </w:tc>
      </w:tr>
      <w:tr w:rsidR="0064788F">
        <w:tblPrEx>
          <w:tblCellMar>
            <w:top w:w="0" w:type="dxa"/>
            <w:bottom w:w="0" w:type="dxa"/>
          </w:tblCellMar>
        </w:tblPrEx>
        <w:trPr>
          <w:jc w:val="center"/>
        </w:trPr>
        <w:tc>
          <w:tcPr>
            <w:tcW w:w="0" w:type="auto"/>
          </w:tcPr>
          <w:p w:rsidR="0064788F" w:rsidRDefault="0064788F">
            <w:pPr>
              <w:jc w:val="center"/>
            </w:pPr>
          </w:p>
        </w:tc>
      </w:tr>
      <w:tr w:rsidR="0064788F">
        <w:tblPrEx>
          <w:tblCellMar>
            <w:top w:w="0" w:type="dxa"/>
            <w:bottom w:w="0" w:type="dxa"/>
          </w:tblCellMar>
        </w:tblPrEx>
        <w:trPr>
          <w:jc w:val="center"/>
        </w:trPr>
        <w:tc>
          <w:tcPr>
            <w:tcW w:w="0" w:type="auto"/>
          </w:tcPr>
          <w:p w:rsidR="0064788F" w:rsidRDefault="0064788F">
            <w:pPr>
              <w:jc w:val="center"/>
            </w:pPr>
          </w:p>
        </w:tc>
      </w:tr>
      <w:tr w:rsidR="0064788F">
        <w:tblPrEx>
          <w:tblCellMar>
            <w:top w:w="0" w:type="dxa"/>
            <w:bottom w:w="0" w:type="dxa"/>
          </w:tblCellMar>
        </w:tblPrEx>
        <w:trPr>
          <w:jc w:val="center"/>
        </w:trPr>
        <w:tc>
          <w:tcPr>
            <w:tcW w:w="0" w:type="auto"/>
          </w:tcPr>
          <w:p w:rsidR="0064788F" w:rsidRDefault="0064788F">
            <w:pPr>
              <w:jc w:val="center"/>
            </w:pPr>
          </w:p>
        </w:tc>
      </w:tr>
    </w:tbl>
    <w:p w:rsidR="0064788F" w:rsidRDefault="00000000">
      <w:pPr>
        <w:spacing w:before="80" w:after="200"/>
        <w:jc w:val="center"/>
      </w:pPr>
      <w:r>
        <w:rPr>
          <w:rFonts w:ascii="Arial" w:hAnsi="Arial"/>
          <w:i/>
          <w:iCs/>
          <w:sz w:val="18"/>
          <w:szCs w:val="18"/>
        </w:rPr>
        <w:t>Fig. 1. Overall explainable stock-market prediction framework: market-data acquisition, preprocessing, feature engineering, comparative ML, evaluation, XAI and dashboard delivery.</w:t>
      </w:r>
    </w:p>
    <w:p w:rsidR="0064788F" w:rsidRDefault="00000000">
      <w:pPr>
        <w:keepNext/>
        <w:spacing w:before="180" w:after="100"/>
      </w:pPr>
      <w:r>
        <w:rPr>
          <w:rFonts w:ascii="Arial" w:hAnsi="Arial"/>
          <w:b/>
          <w:bCs/>
          <w:i/>
          <w:iCs/>
        </w:rPr>
        <w:t>3.2 Dataset(s)</w:t>
      </w:r>
    </w:p>
    <w:p w:rsidR="0064788F" w:rsidRDefault="00000000">
      <w:pPr>
        <w:spacing w:after="140" w:line="252" w:lineRule="auto"/>
        <w:jc w:val="both"/>
      </w:pPr>
      <w:r>
        <w:rPr>
          <w:rFonts w:ascii="Arial" w:hAnsi="Arial"/>
          <w:i/>
          <w:iCs/>
          <w:color w:val="808080"/>
          <w:sz w:val="19"/>
          <w:szCs w:val="19"/>
        </w:rPr>
        <w:t xml:space="preserve">The primary data source is Yahoo Finance historical market data accessed through the Python </w:t>
      </w:r>
      <w:proofErr w:type="spellStart"/>
      <w:r>
        <w:rPr>
          <w:rFonts w:ascii="Arial" w:hAnsi="Arial"/>
          <w:i/>
          <w:iCs/>
          <w:color w:val="808080"/>
          <w:sz w:val="19"/>
          <w:szCs w:val="19"/>
        </w:rPr>
        <w:t>yFinance</w:t>
      </w:r>
      <w:proofErr w:type="spellEnd"/>
      <w:r>
        <w:rPr>
          <w:rFonts w:ascii="Arial" w:hAnsi="Arial"/>
          <w:i/>
          <w:iCs/>
          <w:color w:val="808080"/>
          <w:sz w:val="19"/>
          <w:szCs w:val="19"/>
        </w:rPr>
        <w:t xml:space="preserve"> interface. The project is configured for selectable stocks such as AAPL, TSLA, AMZN, GOOGL, MSFT and NVDA, while allowing a user-entered ticker. The historical window can be configured; the current prototype uses data from </w:t>
      </w:r>
      <w:r>
        <w:rPr>
          <w:rFonts w:ascii="Arial" w:hAnsi="Arial"/>
          <w:i/>
          <w:iCs/>
          <w:color w:val="808080"/>
          <w:sz w:val="19"/>
          <w:szCs w:val="19"/>
        </w:rPr>
        <w:lastRenderedPageBreak/>
        <w:t>2020 onward where available. Each observation contains OHLCV fields and a trading date. The target for regression is the next trading day's closing price. A complementary binary target can be defined as whether the next closing price is greater than the current close.</w:t>
      </w:r>
    </w:p>
    <w:p w:rsidR="0064788F" w:rsidRDefault="00000000">
      <w:pPr>
        <w:pStyle w:val="ListParagraph"/>
        <w:numPr>
          <w:ilvl w:val="0"/>
          <w:numId w:val="3"/>
        </w:numPr>
        <w:spacing w:after="100" w:line="250" w:lineRule="auto"/>
        <w:jc w:val="both"/>
      </w:pPr>
      <w:r>
        <w:rPr>
          <w:rFonts w:ascii="Arial" w:hAnsi="Arial"/>
          <w:sz w:val="19"/>
          <w:szCs w:val="19"/>
        </w:rPr>
        <w:t xml:space="preserve">Dataset 1 — Yahoo Finance / </w:t>
      </w:r>
      <w:proofErr w:type="spellStart"/>
      <w:r>
        <w:rPr>
          <w:rFonts w:ascii="Arial" w:hAnsi="Arial"/>
          <w:sz w:val="19"/>
          <w:szCs w:val="19"/>
        </w:rPr>
        <w:t>yFinance</w:t>
      </w:r>
      <w:proofErr w:type="spellEnd"/>
      <w:r>
        <w:rPr>
          <w:rFonts w:ascii="Arial" w:hAnsi="Arial"/>
          <w:sz w:val="19"/>
          <w:szCs w:val="19"/>
        </w:rPr>
        <w:t xml:space="preserve"> historical OHLCV: daily Open, High, Low, Close, adjusted-price information where available, and Volume for the selected stock universe.</w:t>
      </w:r>
    </w:p>
    <w:p w:rsidR="0064788F" w:rsidRDefault="00000000">
      <w:pPr>
        <w:pStyle w:val="ListParagraph"/>
        <w:numPr>
          <w:ilvl w:val="0"/>
          <w:numId w:val="3"/>
        </w:numPr>
        <w:spacing w:after="100" w:line="250" w:lineRule="auto"/>
        <w:jc w:val="both"/>
      </w:pPr>
      <w:r>
        <w:rPr>
          <w:rFonts w:ascii="Arial" w:hAnsi="Arial"/>
          <w:sz w:val="19"/>
          <w:szCs w:val="19"/>
        </w:rPr>
        <w:t>Dataset 2 — Derived multi-stock benchmark panel: the individually collected stock series are standardized into a common feature schema so models can be compared across stocks using the same pipeline. This is not a second external source; it is a project-generated benchmark assembled from the Yahoo Finance series.</w:t>
      </w:r>
    </w:p>
    <w:p w:rsidR="0064788F" w:rsidRDefault="00000000">
      <w:pPr>
        <w:keepNext/>
        <w:spacing w:before="180" w:after="100"/>
      </w:pPr>
      <w:r>
        <w:rPr>
          <w:rFonts w:ascii="Arial" w:hAnsi="Arial"/>
          <w:b/>
          <w:bCs/>
          <w:i/>
          <w:iCs/>
        </w:rPr>
        <w:t>3.3 Data Preprocessing</w:t>
      </w:r>
    </w:p>
    <w:p w:rsidR="0064788F" w:rsidRDefault="00000000">
      <w:pPr>
        <w:spacing w:after="140" w:line="252" w:lineRule="auto"/>
        <w:jc w:val="both"/>
      </w:pPr>
      <w:r>
        <w:rPr>
          <w:rFonts w:ascii="Arial" w:hAnsi="Arial"/>
          <w:i/>
          <w:iCs/>
          <w:color w:val="808080"/>
          <w:sz w:val="19"/>
          <w:szCs w:val="19"/>
        </w:rPr>
        <w:t xml:space="preserve">Preprocessing is performed chronologically and avoids using future observations to compute training statistics. The workflow includes date sorting, duplicate detection, missing-value inspection, removal or careful handling of unusable rows, validation of numeric fields, creation of lagged targets, and optional scaling for scale-sensitive models. Outliers are </w:t>
      </w:r>
      <w:proofErr w:type="spellStart"/>
      <w:r>
        <w:rPr>
          <w:rFonts w:ascii="Arial" w:hAnsi="Arial"/>
          <w:i/>
          <w:iCs/>
          <w:color w:val="808080"/>
          <w:sz w:val="19"/>
          <w:szCs w:val="19"/>
        </w:rPr>
        <w:t>analyzed</w:t>
      </w:r>
      <w:proofErr w:type="spellEnd"/>
      <w:r>
        <w:rPr>
          <w:rFonts w:ascii="Arial" w:hAnsi="Arial"/>
          <w:i/>
          <w:iCs/>
          <w:color w:val="808080"/>
          <w:sz w:val="19"/>
          <w:szCs w:val="19"/>
        </w:rPr>
        <w:t xml:space="preserve"> rather than automatically deleted because extreme market moves may represent genuine events.</w:t>
      </w:r>
    </w:p>
    <w:p w:rsidR="0064788F" w:rsidRDefault="00000000">
      <w:pPr>
        <w:pStyle w:val="ListParagraph"/>
        <w:numPr>
          <w:ilvl w:val="0"/>
          <w:numId w:val="3"/>
        </w:numPr>
        <w:spacing w:after="100" w:line="250" w:lineRule="auto"/>
        <w:jc w:val="both"/>
      </w:pPr>
      <w:r>
        <w:rPr>
          <w:rFonts w:ascii="Arial" w:hAnsi="Arial"/>
          <w:sz w:val="19"/>
          <w:szCs w:val="19"/>
        </w:rPr>
        <w:t>Step 1 — Sort observations by trading date, validate numeric OHLCV fields, inspect missing values, and remove duplicate records.</w:t>
      </w:r>
    </w:p>
    <w:p w:rsidR="0064788F" w:rsidRDefault="00000000">
      <w:pPr>
        <w:pStyle w:val="ListParagraph"/>
        <w:numPr>
          <w:ilvl w:val="0"/>
          <w:numId w:val="3"/>
        </w:numPr>
        <w:spacing w:after="100" w:line="250" w:lineRule="auto"/>
        <w:jc w:val="both"/>
      </w:pPr>
      <w:r>
        <w:rPr>
          <w:rFonts w:ascii="Arial" w:hAnsi="Arial"/>
          <w:sz w:val="19"/>
          <w:szCs w:val="19"/>
        </w:rPr>
        <w:t>Step 2 — Construct the next-day target after chronological ordering; inspect extreme returns/indicator values and document any treatment instead of blindly deleting market events.</w:t>
      </w:r>
    </w:p>
    <w:p w:rsidR="0064788F" w:rsidRDefault="00000000">
      <w:pPr>
        <w:pStyle w:val="ListParagraph"/>
        <w:numPr>
          <w:ilvl w:val="0"/>
          <w:numId w:val="3"/>
        </w:numPr>
        <w:spacing w:after="100" w:line="250" w:lineRule="auto"/>
        <w:jc w:val="both"/>
      </w:pPr>
      <w:r>
        <w:rPr>
          <w:rFonts w:ascii="Arial" w:hAnsi="Arial"/>
          <w:sz w:val="19"/>
          <w:szCs w:val="19"/>
        </w:rPr>
        <w:t>Step 3 — Apply feature scaling only where required and fit transformations on the training portion; tree-based models can operate without normalization.</w:t>
      </w:r>
    </w:p>
    <w:p w:rsidR="0064788F" w:rsidRDefault="00000000">
      <w:pPr>
        <w:keepNext/>
        <w:spacing w:before="180" w:after="100"/>
      </w:pPr>
      <w:r>
        <w:rPr>
          <w:rFonts w:ascii="Arial" w:hAnsi="Arial"/>
          <w:b/>
          <w:bCs/>
          <w:i/>
          <w:iCs/>
        </w:rPr>
        <w:t>3.4 Exploratory Analysis / Feature Engineering</w:t>
      </w:r>
    </w:p>
    <w:p w:rsidR="0064788F" w:rsidRDefault="00000000">
      <w:pPr>
        <w:spacing w:after="140" w:line="252" w:lineRule="auto"/>
        <w:jc w:val="both"/>
      </w:pPr>
      <w:r>
        <w:rPr>
          <w:rFonts w:ascii="Arial" w:hAnsi="Arial"/>
          <w:i/>
          <w:iCs/>
          <w:color w:val="808080"/>
          <w:sz w:val="19"/>
          <w:szCs w:val="19"/>
        </w:rPr>
        <w:t xml:space="preserve">EDA and feature engineering examine dataset overview, descriptive statistics, missing values, duplicates, outliers, univariate distributions, bivariate relationships, multivariate patterns, rolling volatility, price/return trends, volume </w:t>
      </w:r>
      <w:proofErr w:type="spellStart"/>
      <w:r>
        <w:rPr>
          <w:rFonts w:ascii="Arial" w:hAnsi="Arial"/>
          <w:i/>
          <w:iCs/>
          <w:color w:val="808080"/>
          <w:sz w:val="19"/>
          <w:szCs w:val="19"/>
        </w:rPr>
        <w:t>behavior</w:t>
      </w:r>
      <w:proofErr w:type="spellEnd"/>
      <w:r>
        <w:rPr>
          <w:rFonts w:ascii="Arial" w:hAnsi="Arial"/>
          <w:i/>
          <w:iCs/>
          <w:color w:val="808080"/>
          <w:sz w:val="19"/>
          <w:szCs w:val="19"/>
        </w:rPr>
        <w:t>, correlation and feature redundancy. Engineered variables include daily return, lagged close/return values, SMA/EMA, rolling volatility, RSI, MACD and volume-derived measures. Feature selection removes leakage-prone variables and redundant or unavailable-at-prediction-time fields.</w:t>
      </w:r>
    </w:p>
    <w:p w:rsidR="0064788F" w:rsidRDefault="0064788F">
      <w:pPr>
        <w:spacing w:before="160" w:after="40"/>
        <w:jc w:val="center"/>
      </w:pPr>
    </w:p>
    <w:tbl>
      <w:tblPr>
        <w:tblW w:w="4500"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14"/>
      </w:tblGrid>
      <w:tr w:rsidR="0064788F">
        <w:tblPrEx>
          <w:tblCellMar>
            <w:top w:w="0" w:type="dxa"/>
            <w:bottom w:w="0" w:type="dxa"/>
          </w:tblCellMar>
        </w:tblPrEx>
        <w:trPr>
          <w:jc w:val="center"/>
        </w:trPr>
        <w:tc>
          <w:tcPr>
            <w:tcW w:w="0" w:type="auto"/>
            <w:vAlign w:val="center"/>
          </w:tcPr>
          <w:p w:rsidR="0064788F" w:rsidRDefault="00000000">
            <w:pPr>
              <w:jc w:val="center"/>
            </w:pPr>
            <w:r>
              <w:rPr>
                <w:noProof/>
              </w:rPr>
              <w:drawing>
                <wp:inline distT="0" distB="0" distL="0" distR="0">
                  <wp:extent cx="6309360" cy="2453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_feature_pipeline.png"/>
                          <pic:cNvPicPr/>
                        </pic:nvPicPr>
                        <pic:blipFill>
                          <a:blip r:embed="rId11"/>
                          <a:stretch>
                            <a:fillRect/>
                          </a:stretch>
                        </pic:blipFill>
                        <pic:spPr>
                          <a:xfrm>
                            <a:off x="0" y="0"/>
                            <a:ext cx="6309360" cy="2453640"/>
                          </a:xfrm>
                          <a:prstGeom prst="rect">
                            <a:avLst/>
                          </a:prstGeom>
                        </pic:spPr>
                      </pic:pic>
                    </a:graphicData>
                  </a:graphic>
                </wp:inline>
              </w:drawing>
            </w:r>
          </w:p>
        </w:tc>
      </w:tr>
      <w:tr w:rsidR="0064788F">
        <w:tblPrEx>
          <w:tblCellMar>
            <w:top w:w="0" w:type="dxa"/>
            <w:bottom w:w="0" w:type="dxa"/>
          </w:tblCellMar>
        </w:tblPrEx>
        <w:trPr>
          <w:jc w:val="center"/>
        </w:trPr>
        <w:tc>
          <w:tcPr>
            <w:tcW w:w="0" w:type="auto"/>
          </w:tcPr>
          <w:p w:rsidR="0064788F" w:rsidRDefault="0064788F">
            <w:pPr>
              <w:jc w:val="center"/>
            </w:pPr>
          </w:p>
        </w:tc>
      </w:tr>
      <w:tr w:rsidR="0064788F">
        <w:tblPrEx>
          <w:tblCellMar>
            <w:top w:w="0" w:type="dxa"/>
            <w:bottom w:w="0" w:type="dxa"/>
          </w:tblCellMar>
        </w:tblPrEx>
        <w:trPr>
          <w:jc w:val="center"/>
        </w:trPr>
        <w:tc>
          <w:tcPr>
            <w:tcW w:w="0" w:type="auto"/>
          </w:tcPr>
          <w:p w:rsidR="0064788F" w:rsidRDefault="0064788F">
            <w:pPr>
              <w:jc w:val="center"/>
            </w:pPr>
          </w:p>
        </w:tc>
      </w:tr>
      <w:tr w:rsidR="0064788F">
        <w:tblPrEx>
          <w:tblCellMar>
            <w:top w:w="0" w:type="dxa"/>
            <w:bottom w:w="0" w:type="dxa"/>
          </w:tblCellMar>
        </w:tblPrEx>
        <w:trPr>
          <w:jc w:val="center"/>
        </w:trPr>
        <w:tc>
          <w:tcPr>
            <w:tcW w:w="0" w:type="auto"/>
          </w:tcPr>
          <w:p w:rsidR="0064788F" w:rsidRDefault="00000000">
            <w:pPr>
              <w:jc w:val="center"/>
            </w:pPr>
            <w:r>
              <w:rPr>
                <w:i/>
                <w:iCs/>
                <w:color w:val="808080"/>
                <w:sz w:val="18"/>
                <w:szCs w:val="18"/>
              </w:rPr>
              <w:t>[ Figure 2 — Supporting diagram (e.g., analysis pipeline) ]</w:t>
            </w:r>
          </w:p>
        </w:tc>
      </w:tr>
      <w:tr w:rsidR="0064788F">
        <w:tblPrEx>
          <w:tblCellMar>
            <w:top w:w="0" w:type="dxa"/>
            <w:bottom w:w="0" w:type="dxa"/>
          </w:tblCellMar>
        </w:tblPrEx>
        <w:trPr>
          <w:jc w:val="center"/>
        </w:trPr>
        <w:tc>
          <w:tcPr>
            <w:tcW w:w="0" w:type="auto"/>
          </w:tcPr>
          <w:p w:rsidR="0064788F" w:rsidRDefault="0064788F">
            <w:pPr>
              <w:jc w:val="center"/>
            </w:pPr>
          </w:p>
        </w:tc>
      </w:tr>
      <w:tr w:rsidR="0064788F">
        <w:tblPrEx>
          <w:tblCellMar>
            <w:top w:w="0" w:type="dxa"/>
            <w:bottom w:w="0" w:type="dxa"/>
          </w:tblCellMar>
        </w:tblPrEx>
        <w:trPr>
          <w:jc w:val="center"/>
        </w:trPr>
        <w:tc>
          <w:tcPr>
            <w:tcW w:w="0" w:type="auto"/>
          </w:tcPr>
          <w:p w:rsidR="0064788F" w:rsidRDefault="0064788F">
            <w:pPr>
              <w:jc w:val="center"/>
            </w:pPr>
          </w:p>
        </w:tc>
      </w:tr>
    </w:tbl>
    <w:p w:rsidR="0064788F" w:rsidRDefault="00000000">
      <w:pPr>
        <w:spacing w:before="80" w:after="200"/>
        <w:jc w:val="center"/>
      </w:pPr>
      <w:r>
        <w:rPr>
          <w:rFonts w:ascii="Arial" w:hAnsi="Arial"/>
          <w:i/>
          <w:iCs/>
          <w:sz w:val="18"/>
          <w:szCs w:val="18"/>
        </w:rPr>
        <w:t>Fig. 2. Exploratory-analysis and feature-engineering flow: data quality → descriptive analysis → trend/volatility → correlation → technical indicators → leakage-aware feature selection.</w:t>
      </w:r>
    </w:p>
    <w:p w:rsidR="0064788F" w:rsidRDefault="00000000">
      <w:pPr>
        <w:keepNext/>
        <w:spacing w:before="180" w:after="100"/>
      </w:pPr>
      <w:r>
        <w:rPr>
          <w:rFonts w:ascii="Arial" w:hAnsi="Arial"/>
          <w:b/>
          <w:bCs/>
          <w:i/>
          <w:iCs/>
        </w:rPr>
        <w:t>3.5 Proposed Models and Baselines</w:t>
      </w:r>
    </w:p>
    <w:p w:rsidR="0064788F" w:rsidRDefault="00000000">
      <w:pPr>
        <w:spacing w:after="140" w:line="252" w:lineRule="auto"/>
        <w:jc w:val="both"/>
      </w:pPr>
      <w:r>
        <w:rPr>
          <w:rFonts w:ascii="Arial" w:hAnsi="Arial"/>
          <w:i/>
          <w:iCs/>
          <w:color w:val="808080"/>
          <w:sz w:val="19"/>
          <w:szCs w:val="19"/>
        </w:rPr>
        <w:t xml:space="preserve">The model set is deliberately comparative. Linear Regression provides a transparent baseline; Decision Tree captures nonlinear splits; Random Forest reduces variance through bagging; </w:t>
      </w:r>
      <w:proofErr w:type="spellStart"/>
      <w:r>
        <w:rPr>
          <w:rFonts w:ascii="Arial" w:hAnsi="Arial"/>
          <w:i/>
          <w:iCs/>
          <w:color w:val="808080"/>
          <w:sz w:val="19"/>
          <w:szCs w:val="19"/>
        </w:rPr>
        <w:t>XGBoost</w:t>
      </w:r>
      <w:proofErr w:type="spellEnd"/>
      <w:r>
        <w:rPr>
          <w:rFonts w:ascii="Arial" w:hAnsi="Arial"/>
          <w:i/>
          <w:iCs/>
          <w:color w:val="808080"/>
          <w:sz w:val="19"/>
          <w:szCs w:val="19"/>
        </w:rPr>
        <w:t xml:space="preserve"> uses sequential gradient boosting to correct residual errors; and </w:t>
      </w:r>
      <w:proofErr w:type="spellStart"/>
      <w:r>
        <w:rPr>
          <w:rFonts w:ascii="Arial" w:hAnsi="Arial"/>
          <w:i/>
          <w:iCs/>
          <w:color w:val="808080"/>
          <w:sz w:val="19"/>
          <w:szCs w:val="19"/>
        </w:rPr>
        <w:t>CatBoost</w:t>
      </w:r>
      <w:proofErr w:type="spellEnd"/>
      <w:r>
        <w:rPr>
          <w:rFonts w:ascii="Arial" w:hAnsi="Arial"/>
          <w:i/>
          <w:iCs/>
          <w:color w:val="808080"/>
          <w:sz w:val="19"/>
          <w:szCs w:val="19"/>
        </w:rPr>
        <w:t xml:space="preserve"> provides another strong boosting family with robust tree-based learning. A Logistic Regression classifier may additionally be used for the optional up/down direction task.</w:t>
      </w:r>
    </w:p>
    <w:p w:rsidR="0064788F" w:rsidRDefault="00000000">
      <w:pPr>
        <w:pStyle w:val="ListParagraph"/>
        <w:numPr>
          <w:ilvl w:val="0"/>
          <w:numId w:val="3"/>
        </w:numPr>
        <w:spacing w:after="100" w:line="250" w:lineRule="auto"/>
        <w:jc w:val="both"/>
      </w:pPr>
      <w:r>
        <w:rPr>
          <w:rFonts w:ascii="Arial" w:hAnsi="Arial"/>
          <w:sz w:val="19"/>
          <w:szCs w:val="19"/>
        </w:rPr>
        <w:t>Linear Regression — establishes a simple, interpretable baseline for next-day closing-price regression.</w:t>
      </w:r>
    </w:p>
    <w:p w:rsidR="0064788F" w:rsidRDefault="00000000">
      <w:pPr>
        <w:pStyle w:val="ListParagraph"/>
        <w:numPr>
          <w:ilvl w:val="0"/>
          <w:numId w:val="3"/>
        </w:numPr>
        <w:spacing w:after="100" w:line="250" w:lineRule="auto"/>
        <w:jc w:val="both"/>
      </w:pPr>
      <w:r>
        <w:rPr>
          <w:rFonts w:ascii="Arial" w:hAnsi="Arial"/>
          <w:sz w:val="19"/>
          <w:szCs w:val="19"/>
        </w:rPr>
        <w:t>Decision Tree — captures nonlinear threshold relationships between technical/lagged features and the target.</w:t>
      </w:r>
    </w:p>
    <w:p w:rsidR="0064788F" w:rsidRDefault="00000000">
      <w:pPr>
        <w:pStyle w:val="ListParagraph"/>
        <w:numPr>
          <w:ilvl w:val="0"/>
          <w:numId w:val="3"/>
        </w:numPr>
        <w:spacing w:after="100" w:line="250" w:lineRule="auto"/>
        <w:jc w:val="both"/>
      </w:pPr>
      <w:r>
        <w:rPr>
          <w:rFonts w:ascii="Arial" w:hAnsi="Arial"/>
          <w:sz w:val="19"/>
          <w:szCs w:val="19"/>
        </w:rPr>
        <w:t>Random Forest — aggregates many decision trees to improve robustness and reduce variance.</w:t>
      </w:r>
    </w:p>
    <w:p w:rsidR="0064788F" w:rsidRDefault="00000000">
      <w:pPr>
        <w:keepNext/>
        <w:spacing w:before="180" w:after="100"/>
      </w:pPr>
      <w:r>
        <w:rPr>
          <w:rFonts w:ascii="Arial" w:hAnsi="Arial"/>
          <w:b/>
          <w:bCs/>
          <w:i/>
          <w:iCs/>
        </w:rPr>
        <w:t>3.6 Algorithmic / Mathematical Formulation</w:t>
      </w:r>
    </w:p>
    <w:p w:rsidR="0064788F" w:rsidRDefault="00000000">
      <w:pPr>
        <w:spacing w:after="140" w:line="252" w:lineRule="auto"/>
        <w:jc w:val="both"/>
      </w:pPr>
      <w:r>
        <w:rPr>
          <w:rFonts w:ascii="Arial" w:hAnsi="Arial"/>
          <w:i/>
          <w:iCs/>
          <w:color w:val="808080"/>
          <w:sz w:val="19"/>
          <w:szCs w:val="19"/>
        </w:rPr>
        <w:t xml:space="preserve">For regression, let </w:t>
      </w:r>
      <w:proofErr w:type="spellStart"/>
      <w:r>
        <w:rPr>
          <w:rFonts w:ascii="Arial" w:hAnsi="Arial"/>
          <w:i/>
          <w:iCs/>
          <w:color w:val="808080"/>
          <w:sz w:val="19"/>
          <w:szCs w:val="19"/>
        </w:rPr>
        <w:t>x_t</w:t>
      </w:r>
      <w:proofErr w:type="spellEnd"/>
      <w:r>
        <w:rPr>
          <w:rFonts w:ascii="Arial" w:hAnsi="Arial"/>
          <w:i/>
          <w:iCs/>
          <w:color w:val="808080"/>
          <w:sz w:val="19"/>
          <w:szCs w:val="19"/>
        </w:rPr>
        <w:t xml:space="preserve"> denote the engineered feature vector available at trading day t and y_(t+1) the next trading-day close. Linear Regression estimates the baseline as shown below. Tree and boosting models learn nonlinear functions f(</w:t>
      </w:r>
      <w:proofErr w:type="spellStart"/>
      <w:r>
        <w:rPr>
          <w:rFonts w:ascii="Arial" w:hAnsi="Arial"/>
          <w:i/>
          <w:iCs/>
          <w:color w:val="808080"/>
          <w:sz w:val="19"/>
          <w:szCs w:val="19"/>
        </w:rPr>
        <w:t>x_t</w:t>
      </w:r>
      <w:proofErr w:type="spellEnd"/>
      <w:r>
        <w:rPr>
          <w:rFonts w:ascii="Arial" w:hAnsi="Arial"/>
          <w:i/>
          <w:iCs/>
          <w:color w:val="808080"/>
          <w:sz w:val="19"/>
          <w:szCs w:val="19"/>
        </w:rPr>
        <w:t>).</w:t>
      </w:r>
    </w:p>
    <w:p w:rsidR="0064788F" w:rsidRDefault="00000000">
      <w:pPr>
        <w:spacing w:before="100" w:after="100"/>
        <w:jc w:val="center"/>
      </w:pPr>
      <w:r>
        <w:rPr>
          <w:rFonts w:ascii="Arial" w:hAnsi="Arial"/>
          <w:i/>
          <w:iCs/>
          <w:color w:val="808080"/>
          <w:sz w:val="19"/>
          <w:szCs w:val="19"/>
        </w:rPr>
        <w:t>ŷ_(t+1) = β₀ + Σ(j=1…p) βⱼ</w:t>
      </w:r>
      <w:proofErr w:type="spellStart"/>
      <w:r>
        <w:rPr>
          <w:rFonts w:ascii="Arial" w:hAnsi="Arial"/>
          <w:i/>
          <w:iCs/>
          <w:color w:val="808080"/>
          <w:sz w:val="19"/>
          <w:szCs w:val="19"/>
        </w:rPr>
        <w:t>xⱼ,t</w:t>
      </w:r>
      <w:proofErr w:type="spellEnd"/>
      <w:r>
        <w:rPr>
          <w:rFonts w:ascii="Arial" w:hAnsi="Arial"/>
          <w:i/>
          <w:iCs/>
          <w:color w:val="808080"/>
          <w:sz w:val="19"/>
          <w:szCs w:val="19"/>
        </w:rPr>
        <w:t xml:space="preserve"> ;   </w:t>
      </w:r>
      <w:proofErr w:type="spellStart"/>
      <w:r>
        <w:rPr>
          <w:rFonts w:ascii="Arial" w:hAnsi="Arial"/>
          <w:i/>
          <w:iCs/>
          <w:color w:val="808080"/>
          <w:sz w:val="19"/>
          <w:szCs w:val="19"/>
        </w:rPr>
        <w:t>Return_t</w:t>
      </w:r>
      <w:proofErr w:type="spellEnd"/>
      <w:r>
        <w:rPr>
          <w:rFonts w:ascii="Arial" w:hAnsi="Arial"/>
          <w:i/>
          <w:iCs/>
          <w:color w:val="808080"/>
          <w:sz w:val="19"/>
          <w:szCs w:val="19"/>
        </w:rPr>
        <w:t xml:space="preserve"> = (</w:t>
      </w:r>
      <w:proofErr w:type="spellStart"/>
      <w:r>
        <w:rPr>
          <w:rFonts w:ascii="Arial" w:hAnsi="Arial"/>
          <w:i/>
          <w:iCs/>
          <w:color w:val="808080"/>
          <w:sz w:val="19"/>
          <w:szCs w:val="19"/>
        </w:rPr>
        <w:t>Close_t</w:t>
      </w:r>
      <w:proofErr w:type="spellEnd"/>
      <w:r>
        <w:rPr>
          <w:rFonts w:ascii="Arial" w:hAnsi="Arial"/>
          <w:i/>
          <w:iCs/>
          <w:color w:val="808080"/>
          <w:sz w:val="19"/>
          <w:szCs w:val="19"/>
        </w:rPr>
        <w:t xml:space="preserve"> / Close_(t−1)) − 1 ;   RMSE = √[(1/n)Σ(</w:t>
      </w:r>
      <w:proofErr w:type="spellStart"/>
      <w:r>
        <w:rPr>
          <w:rFonts w:ascii="Arial" w:hAnsi="Arial"/>
          <w:i/>
          <w:iCs/>
          <w:color w:val="808080"/>
          <w:sz w:val="19"/>
          <w:szCs w:val="19"/>
        </w:rPr>
        <w:t>y_i−ŷ_i</w:t>
      </w:r>
      <w:proofErr w:type="spellEnd"/>
      <w:r>
        <w:rPr>
          <w:rFonts w:ascii="Arial" w:hAnsi="Arial"/>
          <w:i/>
          <w:iCs/>
          <w:color w:val="808080"/>
          <w:sz w:val="19"/>
          <w:szCs w:val="19"/>
        </w:rPr>
        <w:t>)²]    (1)</w:t>
      </w:r>
    </w:p>
    <w:p w:rsidR="0064788F" w:rsidRDefault="00000000">
      <w:pPr>
        <w:keepNext/>
        <w:spacing w:before="260" w:after="120"/>
      </w:pPr>
      <w:r>
        <w:rPr>
          <w:rFonts w:ascii="Arial" w:hAnsi="Arial"/>
          <w:b/>
          <w:bCs/>
          <w:color w:val="1F3864"/>
          <w:sz w:val="21"/>
          <w:szCs w:val="21"/>
        </w:rPr>
        <w:lastRenderedPageBreak/>
        <w:t>4. EXPERIMENTAL SETUP</w:t>
      </w:r>
    </w:p>
    <w:p w:rsidR="0064788F" w:rsidRDefault="00000000">
      <w:pPr>
        <w:keepNext/>
        <w:spacing w:before="180" w:after="100"/>
      </w:pPr>
      <w:r>
        <w:rPr>
          <w:rFonts w:ascii="Arial" w:hAnsi="Arial"/>
          <w:b/>
          <w:bCs/>
          <w:i/>
          <w:iCs/>
        </w:rPr>
        <w:t>4.1 Hardware and Software</w:t>
      </w:r>
    </w:p>
    <w:p w:rsidR="0064788F" w:rsidRDefault="00000000">
      <w:pPr>
        <w:spacing w:after="140" w:line="252" w:lineRule="auto"/>
        <w:jc w:val="both"/>
      </w:pPr>
      <w:r>
        <w:rPr>
          <w:rFonts w:ascii="Arial" w:hAnsi="Arial"/>
          <w:i/>
          <w:iCs/>
          <w:color w:val="808080"/>
          <w:sz w:val="19"/>
          <w:szCs w:val="19"/>
        </w:rPr>
        <w:t xml:space="preserve">Software: Python 3.x; pandas and NumPy for data handling; </w:t>
      </w:r>
      <w:proofErr w:type="spellStart"/>
      <w:r>
        <w:rPr>
          <w:rFonts w:ascii="Arial" w:hAnsi="Arial"/>
          <w:i/>
          <w:iCs/>
          <w:color w:val="808080"/>
          <w:sz w:val="19"/>
          <w:szCs w:val="19"/>
        </w:rPr>
        <w:t>yFinance</w:t>
      </w:r>
      <w:proofErr w:type="spellEnd"/>
      <w:r>
        <w:rPr>
          <w:rFonts w:ascii="Arial" w:hAnsi="Arial"/>
          <w:i/>
          <w:iCs/>
          <w:color w:val="808080"/>
          <w:sz w:val="19"/>
          <w:szCs w:val="19"/>
        </w:rPr>
        <w:t xml:space="preserve"> for market-data acquisition; scikit-learn for preprocessing, metrics and baseline models; </w:t>
      </w:r>
      <w:proofErr w:type="spellStart"/>
      <w:r>
        <w:rPr>
          <w:rFonts w:ascii="Arial" w:hAnsi="Arial"/>
          <w:i/>
          <w:iCs/>
          <w:color w:val="808080"/>
          <w:sz w:val="19"/>
          <w:szCs w:val="19"/>
        </w:rPr>
        <w:t>XGBoost</w:t>
      </w:r>
      <w:proofErr w:type="spellEnd"/>
      <w:r>
        <w:rPr>
          <w:rFonts w:ascii="Arial" w:hAnsi="Arial"/>
          <w:i/>
          <w:iCs/>
          <w:color w:val="808080"/>
          <w:sz w:val="19"/>
          <w:szCs w:val="19"/>
        </w:rPr>
        <w:t xml:space="preserve"> and </w:t>
      </w:r>
      <w:proofErr w:type="spellStart"/>
      <w:r>
        <w:rPr>
          <w:rFonts w:ascii="Arial" w:hAnsi="Arial"/>
          <w:i/>
          <w:iCs/>
          <w:color w:val="808080"/>
          <w:sz w:val="19"/>
          <w:szCs w:val="19"/>
        </w:rPr>
        <w:t>CatBoost</w:t>
      </w:r>
      <w:proofErr w:type="spellEnd"/>
      <w:r>
        <w:rPr>
          <w:rFonts w:ascii="Arial" w:hAnsi="Arial"/>
          <w:i/>
          <w:iCs/>
          <w:color w:val="808080"/>
          <w:sz w:val="19"/>
          <w:szCs w:val="19"/>
        </w:rPr>
        <w:t xml:space="preserve"> for boosting; SHAP and LIME for explainability; Matplotlib/</w:t>
      </w:r>
      <w:proofErr w:type="spellStart"/>
      <w:r>
        <w:rPr>
          <w:rFonts w:ascii="Arial" w:hAnsi="Arial"/>
          <w:i/>
          <w:iCs/>
          <w:color w:val="808080"/>
          <w:sz w:val="19"/>
          <w:szCs w:val="19"/>
        </w:rPr>
        <w:t>Plotly</w:t>
      </w:r>
      <w:proofErr w:type="spellEnd"/>
      <w:r>
        <w:rPr>
          <w:rFonts w:ascii="Arial" w:hAnsi="Arial"/>
          <w:i/>
          <w:iCs/>
          <w:color w:val="808080"/>
          <w:sz w:val="19"/>
          <w:szCs w:val="19"/>
        </w:rPr>
        <w:t xml:space="preserve"> for visualization; </w:t>
      </w:r>
      <w:proofErr w:type="spellStart"/>
      <w:r>
        <w:rPr>
          <w:rFonts w:ascii="Arial" w:hAnsi="Arial"/>
          <w:i/>
          <w:iCs/>
          <w:color w:val="808080"/>
          <w:sz w:val="19"/>
          <w:szCs w:val="19"/>
        </w:rPr>
        <w:t>Streamlit</w:t>
      </w:r>
      <w:proofErr w:type="spellEnd"/>
      <w:r>
        <w:rPr>
          <w:rFonts w:ascii="Arial" w:hAnsi="Arial"/>
          <w:i/>
          <w:iCs/>
          <w:color w:val="808080"/>
          <w:sz w:val="19"/>
          <w:szCs w:val="19"/>
        </w:rPr>
        <w:t xml:space="preserve"> for the interactive dashboard. Hardware: standard student laptop/desktop is sufficient for the core experiments; Google </w:t>
      </w:r>
      <w:proofErr w:type="spellStart"/>
      <w:r>
        <w:rPr>
          <w:rFonts w:ascii="Arial" w:hAnsi="Arial"/>
          <w:i/>
          <w:iCs/>
          <w:color w:val="808080"/>
          <w:sz w:val="19"/>
          <w:szCs w:val="19"/>
        </w:rPr>
        <w:t>Colab</w:t>
      </w:r>
      <w:proofErr w:type="spellEnd"/>
      <w:r>
        <w:rPr>
          <w:rFonts w:ascii="Arial" w:hAnsi="Arial"/>
          <w:i/>
          <w:iCs/>
          <w:color w:val="808080"/>
          <w:sz w:val="19"/>
          <w:szCs w:val="19"/>
        </w:rPr>
        <w:t xml:space="preserve"> or Kaggle can be used when additional compute is required.</w:t>
      </w:r>
    </w:p>
    <w:p w:rsidR="0064788F" w:rsidRDefault="00000000">
      <w:pPr>
        <w:keepNext/>
        <w:spacing w:before="180" w:after="100"/>
      </w:pPr>
      <w:r>
        <w:rPr>
          <w:rFonts w:ascii="Arial" w:hAnsi="Arial"/>
          <w:b/>
          <w:bCs/>
          <w:i/>
          <w:iCs/>
        </w:rPr>
        <w:t>4.2 Dataset Split / Design</w:t>
      </w:r>
    </w:p>
    <w:p w:rsidR="0064788F" w:rsidRDefault="00000000">
      <w:pPr>
        <w:spacing w:after="140" w:line="252" w:lineRule="auto"/>
        <w:jc w:val="both"/>
      </w:pPr>
      <w:r>
        <w:rPr>
          <w:rFonts w:ascii="Arial" w:hAnsi="Arial"/>
          <w:i/>
          <w:iCs/>
          <w:color w:val="808080"/>
          <w:sz w:val="19"/>
          <w:szCs w:val="19"/>
        </w:rPr>
        <w:t>The split is chronological. Earlier observations form the training set and later observations form the hold-out test set. No random shuffling is used for the primary experiment because it can mix future observations into training. Where computationally feasible, expanding-window or sliding-window validation will be used for robustness, following the temporal evaluation rationale in [1]–[3].</w:t>
      </w:r>
    </w:p>
    <w:p w:rsidR="0064788F" w:rsidRDefault="00000000">
      <w:pPr>
        <w:keepNext/>
        <w:spacing w:before="180" w:after="100"/>
      </w:pPr>
      <w:r>
        <w:rPr>
          <w:rFonts w:ascii="Arial" w:hAnsi="Arial"/>
          <w:b/>
          <w:bCs/>
          <w:i/>
          <w:iCs/>
        </w:rPr>
        <w:t>4.3 Hyperparameter Configuration</w:t>
      </w:r>
    </w:p>
    <w:p w:rsidR="0064788F" w:rsidRDefault="00000000">
      <w:pPr>
        <w:spacing w:after="140" w:line="252" w:lineRule="auto"/>
        <w:jc w:val="both"/>
      </w:pPr>
      <w:r>
        <w:rPr>
          <w:rFonts w:ascii="Arial" w:hAnsi="Arial"/>
          <w:i/>
          <w:iCs/>
          <w:color w:val="808080"/>
          <w:sz w:val="19"/>
          <w:szCs w:val="19"/>
        </w:rPr>
        <w:t xml:space="preserve">Hyperparameters are selected using training-only validation. Initial configurations use conservative tree depth, number-of-estimators and learning-rate ranges for Random Forest, </w:t>
      </w:r>
      <w:proofErr w:type="spellStart"/>
      <w:r>
        <w:rPr>
          <w:rFonts w:ascii="Arial" w:hAnsi="Arial"/>
          <w:i/>
          <w:iCs/>
          <w:color w:val="808080"/>
          <w:sz w:val="19"/>
          <w:szCs w:val="19"/>
        </w:rPr>
        <w:t>XGBoost</w:t>
      </w:r>
      <w:proofErr w:type="spellEnd"/>
      <w:r>
        <w:rPr>
          <w:rFonts w:ascii="Arial" w:hAnsi="Arial"/>
          <w:i/>
          <w:iCs/>
          <w:color w:val="808080"/>
          <w:sz w:val="19"/>
          <w:szCs w:val="19"/>
        </w:rPr>
        <w:t xml:space="preserve"> and </w:t>
      </w:r>
      <w:proofErr w:type="spellStart"/>
      <w:r>
        <w:rPr>
          <w:rFonts w:ascii="Arial" w:hAnsi="Arial"/>
          <w:i/>
          <w:iCs/>
          <w:color w:val="808080"/>
          <w:sz w:val="19"/>
          <w:szCs w:val="19"/>
        </w:rPr>
        <w:t>CatBoost</w:t>
      </w:r>
      <w:proofErr w:type="spellEnd"/>
      <w:r>
        <w:rPr>
          <w:rFonts w:ascii="Arial" w:hAnsi="Arial"/>
          <w:i/>
          <w:iCs/>
          <w:color w:val="808080"/>
          <w:sz w:val="19"/>
          <w:szCs w:val="19"/>
        </w:rPr>
        <w:t>. Grid search or randomized search can be applied within the training period. The final test period remains untouched until model selection is complete.</w:t>
      </w:r>
    </w:p>
    <w:p w:rsidR="0064788F" w:rsidRDefault="00000000">
      <w:pPr>
        <w:keepNext/>
        <w:spacing w:before="180" w:after="100"/>
      </w:pPr>
      <w:r>
        <w:rPr>
          <w:rFonts w:ascii="Arial" w:hAnsi="Arial"/>
          <w:b/>
          <w:bCs/>
          <w:i/>
          <w:iCs/>
        </w:rPr>
        <w:t>4.4 Validation Strategy</w:t>
      </w:r>
    </w:p>
    <w:p w:rsidR="0064788F" w:rsidRDefault="00000000">
      <w:pPr>
        <w:spacing w:after="140" w:line="252" w:lineRule="auto"/>
        <w:jc w:val="both"/>
      </w:pPr>
      <w:r>
        <w:rPr>
          <w:rFonts w:ascii="Arial" w:hAnsi="Arial"/>
          <w:i/>
          <w:iCs/>
          <w:color w:val="808080"/>
          <w:sz w:val="19"/>
          <w:szCs w:val="19"/>
        </w:rPr>
        <w:t xml:space="preserve">Robustness is assessed using chronological validation across multiple windows where possible. Performance is reported per stock and aggregated across the selected stock set. Variation across windows is recorded so that a model is not declared best from a single </w:t>
      </w:r>
      <w:proofErr w:type="spellStart"/>
      <w:r>
        <w:rPr>
          <w:rFonts w:ascii="Arial" w:hAnsi="Arial"/>
          <w:i/>
          <w:iCs/>
          <w:color w:val="808080"/>
          <w:sz w:val="19"/>
          <w:szCs w:val="19"/>
        </w:rPr>
        <w:t>favorable</w:t>
      </w:r>
      <w:proofErr w:type="spellEnd"/>
      <w:r>
        <w:rPr>
          <w:rFonts w:ascii="Arial" w:hAnsi="Arial"/>
          <w:i/>
          <w:iCs/>
          <w:color w:val="808080"/>
          <w:sz w:val="19"/>
          <w:szCs w:val="19"/>
        </w:rPr>
        <w:t xml:space="preserve"> period.</w:t>
      </w:r>
    </w:p>
    <w:p w:rsidR="0064788F" w:rsidRDefault="00000000">
      <w:pPr>
        <w:keepNext/>
        <w:spacing w:before="180" w:after="100"/>
      </w:pPr>
      <w:r>
        <w:rPr>
          <w:rFonts w:ascii="Arial" w:hAnsi="Arial"/>
          <w:b/>
          <w:bCs/>
          <w:i/>
          <w:iCs/>
        </w:rPr>
        <w:t>4.5 Evaluation Metrics</w:t>
      </w:r>
    </w:p>
    <w:p w:rsidR="0064788F" w:rsidRDefault="00000000">
      <w:pPr>
        <w:pStyle w:val="ListParagraph"/>
        <w:numPr>
          <w:ilvl w:val="0"/>
          <w:numId w:val="3"/>
        </w:numPr>
        <w:spacing w:after="100" w:line="250" w:lineRule="auto"/>
        <w:jc w:val="both"/>
      </w:pPr>
      <w:r>
        <w:rPr>
          <w:rFonts w:ascii="Arial" w:hAnsi="Arial"/>
          <w:sz w:val="19"/>
          <w:szCs w:val="19"/>
        </w:rPr>
        <w:t>MAE — mean absolute error; lower is better and provides an easy-to-interpret average absolute prediction error.</w:t>
      </w:r>
    </w:p>
    <w:p w:rsidR="0064788F" w:rsidRDefault="00000000">
      <w:pPr>
        <w:pStyle w:val="ListParagraph"/>
        <w:numPr>
          <w:ilvl w:val="0"/>
          <w:numId w:val="3"/>
        </w:numPr>
        <w:spacing w:after="100" w:line="250" w:lineRule="auto"/>
        <w:jc w:val="both"/>
      </w:pPr>
      <w:r>
        <w:rPr>
          <w:rFonts w:ascii="Arial" w:hAnsi="Arial"/>
          <w:sz w:val="19"/>
          <w:szCs w:val="19"/>
        </w:rPr>
        <w:t>RMSE — root mean squared error; lower is better and penalizes large prediction errors more strongly than MAE.</w:t>
      </w:r>
    </w:p>
    <w:p w:rsidR="0064788F" w:rsidRDefault="00000000">
      <w:pPr>
        <w:pStyle w:val="ListParagraph"/>
        <w:numPr>
          <w:ilvl w:val="0"/>
          <w:numId w:val="3"/>
        </w:numPr>
        <w:spacing w:after="100" w:line="250" w:lineRule="auto"/>
        <w:jc w:val="both"/>
      </w:pPr>
      <w:r>
        <w:rPr>
          <w:rFonts w:ascii="Arial" w:hAnsi="Arial"/>
          <w:sz w:val="19"/>
          <w:szCs w:val="19"/>
        </w:rPr>
        <w:t>R² — coefficient of determination; higher is better and indicates how much target variation is explained by the model. For the optional direction classifier, Accuracy, Precision, Recall, F1 and ROC-AUC are additionally reported.</w:t>
      </w:r>
    </w:p>
    <w:p w:rsidR="0064788F" w:rsidRDefault="00000000">
      <w:pPr>
        <w:keepNext/>
        <w:spacing w:before="180" w:after="100"/>
      </w:pPr>
      <w:r>
        <w:rPr>
          <w:rFonts w:ascii="Arial" w:hAnsi="Arial"/>
          <w:b/>
          <w:bCs/>
          <w:i/>
          <w:iCs/>
        </w:rPr>
        <w:t>4.6 Statistical Testing</w:t>
      </w:r>
    </w:p>
    <w:p w:rsidR="0064788F" w:rsidRDefault="00000000">
      <w:pPr>
        <w:spacing w:after="140" w:line="252" w:lineRule="auto"/>
        <w:jc w:val="both"/>
      </w:pPr>
      <w:r>
        <w:rPr>
          <w:rFonts w:ascii="Arial" w:hAnsi="Arial"/>
          <w:i/>
          <w:iCs/>
          <w:color w:val="808080"/>
          <w:sz w:val="19"/>
          <w:szCs w:val="19"/>
        </w:rPr>
        <w:t>Because the project is currently a research prototype rather than a completed statistical study, no significance claim is made before the final experiments. If multiple validation windows are available, paired model errors can be compared using a suitable non-parametric test such as the Wilcoxon signed-rank test, with effect sizes and confidence intervals reported alongside p-values.</w:t>
      </w:r>
    </w:p>
    <w:p w:rsidR="0064788F" w:rsidRDefault="00000000">
      <w:pPr>
        <w:keepNext/>
        <w:spacing w:before="260" w:after="120"/>
      </w:pPr>
      <w:r>
        <w:rPr>
          <w:rFonts w:ascii="Arial" w:hAnsi="Arial"/>
          <w:b/>
          <w:bCs/>
          <w:color w:val="1F3864"/>
          <w:sz w:val="21"/>
          <w:szCs w:val="21"/>
        </w:rPr>
        <w:t>5. RESULTS</w:t>
      </w:r>
    </w:p>
    <w:p w:rsidR="0064788F" w:rsidRDefault="00000000">
      <w:pPr>
        <w:spacing w:after="140" w:line="252" w:lineRule="auto"/>
        <w:jc w:val="both"/>
      </w:pPr>
      <w:r>
        <w:rPr>
          <w:rFonts w:ascii="Arial" w:hAnsi="Arial"/>
          <w:i/>
          <w:iCs/>
          <w:color w:val="808080"/>
          <w:sz w:val="19"/>
          <w:szCs w:val="19"/>
        </w:rPr>
        <w:t>The project is currently at the methodology/implementation stage. Therefore, this section distinguishes planned experimental outputs from confirmed results. Numerical values are intentionally not fabricated; the final version will populate Table 2 and Figure 3 after the complete chronological training and validation run.</w:t>
      </w:r>
    </w:p>
    <w:p w:rsidR="0064788F" w:rsidRDefault="00000000">
      <w:pPr>
        <w:keepNext/>
        <w:spacing w:before="180" w:after="100"/>
      </w:pPr>
      <w:r>
        <w:rPr>
          <w:rFonts w:ascii="Arial" w:hAnsi="Arial"/>
          <w:b/>
          <w:bCs/>
          <w:i/>
          <w:iCs/>
        </w:rPr>
        <w:t>5.1 Overall Performance</w:t>
      </w:r>
    </w:p>
    <w:p w:rsidR="0064788F" w:rsidRDefault="00000000">
      <w:pPr>
        <w:spacing w:after="140" w:line="252" w:lineRule="auto"/>
        <w:jc w:val="both"/>
      </w:pPr>
      <w:r>
        <w:rPr>
          <w:rFonts w:ascii="Arial" w:hAnsi="Arial"/>
          <w:i/>
          <w:iCs/>
          <w:color w:val="808080"/>
          <w:sz w:val="19"/>
          <w:szCs w:val="19"/>
        </w:rPr>
        <w:t xml:space="preserve">The primary result will be the per-stock and aggregate comparison of MAE, RMSE and R² across Linear Regression, Decision Tree, Random Forest, </w:t>
      </w:r>
      <w:proofErr w:type="spellStart"/>
      <w:r>
        <w:rPr>
          <w:rFonts w:ascii="Arial" w:hAnsi="Arial"/>
          <w:i/>
          <w:iCs/>
          <w:color w:val="808080"/>
          <w:sz w:val="19"/>
          <w:szCs w:val="19"/>
        </w:rPr>
        <w:t>XGBoost</w:t>
      </w:r>
      <w:proofErr w:type="spellEnd"/>
      <w:r>
        <w:rPr>
          <w:rFonts w:ascii="Arial" w:hAnsi="Arial"/>
          <w:i/>
          <w:iCs/>
          <w:color w:val="808080"/>
          <w:sz w:val="19"/>
          <w:szCs w:val="19"/>
        </w:rPr>
        <w:t xml:space="preserve"> and </w:t>
      </w:r>
      <w:proofErr w:type="spellStart"/>
      <w:r>
        <w:rPr>
          <w:rFonts w:ascii="Arial" w:hAnsi="Arial"/>
          <w:i/>
          <w:iCs/>
          <w:color w:val="808080"/>
          <w:sz w:val="19"/>
          <w:szCs w:val="19"/>
        </w:rPr>
        <w:t>CatBoost</w:t>
      </w:r>
      <w:proofErr w:type="spellEnd"/>
      <w:r>
        <w:rPr>
          <w:rFonts w:ascii="Arial" w:hAnsi="Arial"/>
          <w:i/>
          <w:iCs/>
          <w:color w:val="808080"/>
          <w:sz w:val="19"/>
          <w:szCs w:val="19"/>
        </w:rPr>
        <w:t>. The expected analysis is that nonlinear tree and boosting models may outperform the linear baseline on some stocks, but the project will select the best model only from measured time-series performance rather than assuming a winner in advance.</w:t>
      </w:r>
    </w:p>
    <w:p w:rsidR="0064788F" w:rsidRDefault="00000000">
      <w:pPr>
        <w:keepNext/>
        <w:spacing w:before="180" w:after="100"/>
      </w:pPr>
      <w:r>
        <w:rPr>
          <w:rFonts w:ascii="Arial" w:hAnsi="Arial"/>
          <w:b/>
          <w:bCs/>
          <w:i/>
          <w:iCs/>
        </w:rPr>
        <w:t>5.2 Model / Method Comparison</w:t>
      </w:r>
    </w:p>
    <w:p w:rsidR="0064788F" w:rsidRDefault="00000000">
      <w:pPr>
        <w:spacing w:after="140" w:line="252" w:lineRule="auto"/>
        <w:jc w:val="both"/>
      </w:pPr>
      <w:r>
        <w:rPr>
          <w:rFonts w:ascii="Arial" w:hAnsi="Arial"/>
          <w:i/>
          <w:iCs/>
          <w:color w:val="808080"/>
          <w:sz w:val="19"/>
          <w:szCs w:val="19"/>
        </w:rPr>
        <w:t>Table 2 compares the performance of each method/model considered in this study. Values are to be populated after the final experimental run; the table structure is fixed to avoid presenting invented results.</w:t>
      </w:r>
    </w:p>
    <w:p w:rsidR="0064788F" w:rsidRDefault="0064788F">
      <w:pPr>
        <w:sectPr w:rsidR="0064788F">
          <w:footerReference w:type="default" r:id="rId12"/>
          <w:type w:val="continuous"/>
          <w:pgSz w:w="12240" w:h="15840"/>
          <w:pgMar w:top="1080" w:right="1080" w:bottom="1080" w:left="1080" w:header="708" w:footer="708" w:gutter="0"/>
          <w:cols w:num="2" w:space="432"/>
          <w:docGrid w:linePitch="360"/>
        </w:sectPr>
      </w:pP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1400"/>
        <w:gridCol w:w="3600"/>
      </w:tblGrid>
      <w:tr w:rsidR="0064788F">
        <w:tblPrEx>
          <w:tblCellMar>
            <w:top w:w="0" w:type="dxa"/>
            <w:bottom w:w="0" w:type="dxa"/>
          </w:tblCellMar>
        </w:tblPrEx>
        <w:trPr>
          <w:tblHeader/>
        </w:trPr>
        <w:tc>
          <w:tcPr>
            <w:tcW w:w="1900" w:type="dxa"/>
            <w:shd w:val="clear" w:color="auto" w:fill="123D66"/>
            <w:tcMar>
              <w:top w:w="60" w:type="dxa"/>
              <w:left w:w="80" w:type="dxa"/>
              <w:bottom w:w="60" w:type="dxa"/>
              <w:right w:w="80" w:type="dxa"/>
            </w:tcMar>
            <w:vAlign w:val="center"/>
          </w:tcPr>
          <w:p w:rsidR="0064788F" w:rsidRDefault="00000000">
            <w:pPr>
              <w:spacing w:line="228" w:lineRule="auto"/>
            </w:pPr>
            <w:r>
              <w:rPr>
                <w:rFonts w:ascii="Arial" w:hAnsi="Arial"/>
                <w:b/>
                <w:sz w:val="15"/>
              </w:rPr>
              <w:t>Method</w:t>
            </w:r>
          </w:p>
        </w:tc>
        <w:tc>
          <w:tcPr>
            <w:tcW w:w="2200" w:type="dxa"/>
            <w:shd w:val="clear" w:color="auto" w:fill="123D66"/>
            <w:tcMar>
              <w:top w:w="60" w:type="dxa"/>
              <w:left w:w="80" w:type="dxa"/>
              <w:bottom w:w="60" w:type="dxa"/>
              <w:right w:w="80" w:type="dxa"/>
            </w:tcMar>
            <w:vAlign w:val="center"/>
          </w:tcPr>
          <w:p w:rsidR="0064788F" w:rsidRDefault="00000000">
            <w:pPr>
              <w:spacing w:line="228" w:lineRule="auto"/>
            </w:pPr>
            <w:r>
              <w:rPr>
                <w:rFonts w:ascii="Arial" w:hAnsi="Arial"/>
                <w:b/>
                <w:sz w:val="15"/>
              </w:rPr>
              <w:t>Metric A</w:t>
            </w:r>
          </w:p>
        </w:tc>
        <w:tc>
          <w:tcPr>
            <w:tcW w:w="1400" w:type="dxa"/>
            <w:shd w:val="clear" w:color="auto" w:fill="123D66"/>
            <w:tcMar>
              <w:top w:w="60" w:type="dxa"/>
              <w:left w:w="80" w:type="dxa"/>
              <w:bottom w:w="60" w:type="dxa"/>
              <w:right w:w="80" w:type="dxa"/>
            </w:tcMar>
            <w:vAlign w:val="center"/>
          </w:tcPr>
          <w:p w:rsidR="0064788F" w:rsidRDefault="00000000">
            <w:pPr>
              <w:spacing w:line="228" w:lineRule="auto"/>
            </w:pPr>
            <w:r>
              <w:rPr>
                <w:rFonts w:ascii="Arial" w:hAnsi="Arial"/>
                <w:b/>
                <w:sz w:val="15"/>
              </w:rPr>
              <w:t>Metric B</w:t>
            </w:r>
          </w:p>
        </w:tc>
        <w:tc>
          <w:tcPr>
            <w:tcW w:w="3600" w:type="dxa"/>
            <w:shd w:val="clear" w:color="auto" w:fill="123D66"/>
            <w:tcMar>
              <w:top w:w="60" w:type="dxa"/>
              <w:left w:w="80" w:type="dxa"/>
              <w:bottom w:w="60" w:type="dxa"/>
              <w:right w:w="80" w:type="dxa"/>
            </w:tcMar>
            <w:vAlign w:val="center"/>
          </w:tcPr>
          <w:p w:rsidR="0064788F" w:rsidRDefault="00000000">
            <w:pPr>
              <w:spacing w:line="228" w:lineRule="auto"/>
            </w:pPr>
            <w:r>
              <w:rPr>
                <w:rFonts w:ascii="Arial" w:hAnsi="Arial"/>
                <w:b/>
                <w:sz w:val="15"/>
              </w:rPr>
              <w:t>Notes</w:t>
            </w:r>
          </w:p>
        </w:tc>
      </w:tr>
      <w:tr w:rsidR="0064788F">
        <w:tblPrEx>
          <w:tblCellMar>
            <w:top w:w="0" w:type="dxa"/>
            <w:bottom w:w="0" w:type="dxa"/>
          </w:tblCellMar>
        </w:tblPrEx>
        <w:tc>
          <w:tcPr>
            <w:tcW w:w="190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b/>
                <w:sz w:val="14"/>
              </w:rPr>
              <w:t>Linear Regression</w:t>
            </w:r>
          </w:p>
        </w:tc>
        <w:tc>
          <w:tcPr>
            <w:tcW w:w="220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4"/>
              </w:rPr>
              <w:t>MAE: TBD</w:t>
            </w:r>
          </w:p>
        </w:tc>
        <w:tc>
          <w:tcPr>
            <w:tcW w:w="140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4"/>
              </w:rPr>
              <w:t>RMSE: TBD</w:t>
            </w:r>
          </w:p>
        </w:tc>
        <w:tc>
          <w:tcPr>
            <w:tcW w:w="360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4"/>
              </w:rPr>
              <w:t>Transparent baseline; final values from chronological test set.</w:t>
            </w:r>
          </w:p>
        </w:tc>
      </w:tr>
      <w:tr w:rsidR="0064788F">
        <w:tblPrEx>
          <w:tblCellMar>
            <w:top w:w="0" w:type="dxa"/>
            <w:bottom w:w="0" w:type="dxa"/>
          </w:tblCellMar>
        </w:tblPrEx>
        <w:tc>
          <w:tcPr>
            <w:tcW w:w="190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b/>
                <w:sz w:val="14"/>
              </w:rPr>
              <w:t>Decision Tree</w:t>
            </w:r>
          </w:p>
        </w:tc>
        <w:tc>
          <w:tcPr>
            <w:tcW w:w="220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sz w:val="14"/>
              </w:rPr>
              <w:t>MAE: TBD</w:t>
            </w:r>
          </w:p>
        </w:tc>
        <w:tc>
          <w:tcPr>
            <w:tcW w:w="140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sz w:val="14"/>
              </w:rPr>
              <w:t>RMSE: TBD</w:t>
            </w:r>
          </w:p>
        </w:tc>
        <w:tc>
          <w:tcPr>
            <w:tcW w:w="360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sz w:val="14"/>
              </w:rPr>
              <w:t>Nonlinear threshold model; tune depth and leaf size.</w:t>
            </w:r>
          </w:p>
        </w:tc>
      </w:tr>
      <w:tr w:rsidR="0064788F">
        <w:tblPrEx>
          <w:tblCellMar>
            <w:top w:w="0" w:type="dxa"/>
            <w:bottom w:w="0" w:type="dxa"/>
          </w:tblCellMar>
        </w:tblPrEx>
        <w:tc>
          <w:tcPr>
            <w:tcW w:w="190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b/>
                <w:sz w:val="14"/>
              </w:rPr>
              <w:t>Random Forest</w:t>
            </w:r>
          </w:p>
        </w:tc>
        <w:tc>
          <w:tcPr>
            <w:tcW w:w="220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4"/>
              </w:rPr>
              <w:t>MAE: TBD</w:t>
            </w:r>
          </w:p>
        </w:tc>
        <w:tc>
          <w:tcPr>
            <w:tcW w:w="140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4"/>
              </w:rPr>
              <w:t>RMSE: TBD</w:t>
            </w:r>
          </w:p>
        </w:tc>
        <w:tc>
          <w:tcPr>
            <w:tcW w:w="3600" w:type="dxa"/>
            <w:shd w:val="clear" w:color="auto" w:fill="FFFFFF"/>
            <w:tcMar>
              <w:top w:w="60" w:type="dxa"/>
              <w:left w:w="80" w:type="dxa"/>
              <w:bottom w:w="60" w:type="dxa"/>
              <w:right w:w="80" w:type="dxa"/>
            </w:tcMar>
            <w:vAlign w:val="center"/>
          </w:tcPr>
          <w:p w:rsidR="0064788F" w:rsidRDefault="00000000">
            <w:pPr>
              <w:spacing w:line="228" w:lineRule="auto"/>
            </w:pPr>
            <w:r>
              <w:rPr>
                <w:rFonts w:ascii="Arial" w:hAnsi="Arial"/>
                <w:sz w:val="14"/>
              </w:rPr>
              <w:t>Bagging ensemble; evaluate robustness across windows.</w:t>
            </w:r>
          </w:p>
        </w:tc>
      </w:tr>
      <w:tr w:rsidR="0064788F">
        <w:tblPrEx>
          <w:tblCellMar>
            <w:top w:w="0" w:type="dxa"/>
            <w:bottom w:w="0" w:type="dxa"/>
          </w:tblCellMar>
        </w:tblPrEx>
        <w:tc>
          <w:tcPr>
            <w:tcW w:w="1900" w:type="dxa"/>
            <w:shd w:val="clear" w:color="auto" w:fill="EEF5F5"/>
            <w:tcMar>
              <w:top w:w="60" w:type="dxa"/>
              <w:left w:w="80" w:type="dxa"/>
              <w:bottom w:w="60" w:type="dxa"/>
              <w:right w:w="80" w:type="dxa"/>
            </w:tcMar>
            <w:vAlign w:val="center"/>
          </w:tcPr>
          <w:p w:rsidR="0064788F" w:rsidRDefault="00000000">
            <w:pPr>
              <w:spacing w:line="228" w:lineRule="auto"/>
            </w:pPr>
            <w:proofErr w:type="spellStart"/>
            <w:r>
              <w:rPr>
                <w:rFonts w:ascii="Arial" w:hAnsi="Arial"/>
                <w:b/>
                <w:sz w:val="14"/>
              </w:rPr>
              <w:t>XGBoost</w:t>
            </w:r>
            <w:proofErr w:type="spellEnd"/>
            <w:r>
              <w:rPr>
                <w:rFonts w:ascii="Arial" w:hAnsi="Arial"/>
                <w:b/>
                <w:sz w:val="14"/>
              </w:rPr>
              <w:t xml:space="preserve"> / </w:t>
            </w:r>
            <w:proofErr w:type="spellStart"/>
            <w:r>
              <w:rPr>
                <w:rFonts w:ascii="Arial" w:hAnsi="Arial"/>
                <w:b/>
                <w:sz w:val="14"/>
              </w:rPr>
              <w:t>CatBoost</w:t>
            </w:r>
            <w:proofErr w:type="spellEnd"/>
          </w:p>
        </w:tc>
        <w:tc>
          <w:tcPr>
            <w:tcW w:w="220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sz w:val="14"/>
              </w:rPr>
              <w:t>MAE: TBD</w:t>
            </w:r>
          </w:p>
        </w:tc>
        <w:tc>
          <w:tcPr>
            <w:tcW w:w="140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sz w:val="14"/>
              </w:rPr>
              <w:t>RMSE: TBD</w:t>
            </w:r>
          </w:p>
        </w:tc>
        <w:tc>
          <w:tcPr>
            <w:tcW w:w="3600" w:type="dxa"/>
            <w:shd w:val="clear" w:color="auto" w:fill="EEF5F5"/>
            <w:tcMar>
              <w:top w:w="60" w:type="dxa"/>
              <w:left w:w="80" w:type="dxa"/>
              <w:bottom w:w="60" w:type="dxa"/>
              <w:right w:w="80" w:type="dxa"/>
            </w:tcMar>
            <w:vAlign w:val="center"/>
          </w:tcPr>
          <w:p w:rsidR="0064788F" w:rsidRDefault="00000000">
            <w:pPr>
              <w:spacing w:line="228" w:lineRule="auto"/>
            </w:pPr>
            <w:r>
              <w:rPr>
                <w:rFonts w:ascii="Arial" w:hAnsi="Arial"/>
                <w:sz w:val="14"/>
              </w:rPr>
              <w:t>Boosting models; compare error, R² and explanation stability.</w:t>
            </w:r>
          </w:p>
        </w:tc>
      </w:tr>
    </w:tbl>
    <w:p w:rsidR="0064788F" w:rsidRDefault="00000000">
      <w:pPr>
        <w:spacing w:before="80" w:after="200"/>
        <w:jc w:val="center"/>
      </w:pPr>
      <w:r>
        <w:rPr>
          <w:rFonts w:ascii="Arial" w:hAnsi="Arial"/>
          <w:i/>
          <w:iCs/>
          <w:sz w:val="18"/>
          <w:szCs w:val="18"/>
        </w:rPr>
        <w:t>Table 2. Planned comparative results table; numerical values are intentionally marked TBD until the final time-series experiments are completed.</w:t>
      </w:r>
    </w:p>
    <w:p w:rsidR="0064788F" w:rsidRDefault="0064788F">
      <w:pPr>
        <w:spacing w:before="160" w:after="40"/>
        <w:jc w:val="center"/>
      </w:pPr>
    </w:p>
    <w:tbl>
      <w:tblPr>
        <w:tblW w:w="4500"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tblGrid>
      <w:tr w:rsidR="0064788F">
        <w:tblPrEx>
          <w:tblCellMar>
            <w:top w:w="0" w:type="dxa"/>
            <w:bottom w:w="0" w:type="dxa"/>
          </w:tblCellMar>
        </w:tblPrEx>
        <w:trPr>
          <w:jc w:val="center"/>
        </w:trPr>
        <w:tc>
          <w:tcPr>
            <w:tcW w:w="0" w:type="auto"/>
          </w:tcPr>
          <w:p w:rsidR="0064788F" w:rsidRDefault="00000000">
            <w:pPr>
              <w:jc w:val="center"/>
            </w:pPr>
            <w:r>
              <w:rPr>
                <w:rFonts w:ascii="Arial" w:hAnsi="Arial"/>
                <w:b/>
                <w:sz w:val="18"/>
              </w:rPr>
              <w:lastRenderedPageBreak/>
              <w:t>Planned Figure 3: Model comparison chart (MAE/RMSE/R²) generated after the final experimental run.</w:t>
            </w:r>
          </w:p>
        </w:tc>
      </w:tr>
      <w:tr w:rsidR="0064788F">
        <w:tblPrEx>
          <w:tblCellMar>
            <w:top w:w="0" w:type="dxa"/>
            <w:bottom w:w="0" w:type="dxa"/>
          </w:tblCellMar>
        </w:tblPrEx>
        <w:trPr>
          <w:jc w:val="center"/>
        </w:trPr>
        <w:tc>
          <w:tcPr>
            <w:tcW w:w="0" w:type="auto"/>
          </w:tcPr>
          <w:p w:rsidR="0064788F" w:rsidRDefault="0064788F"/>
        </w:tc>
      </w:tr>
      <w:tr w:rsidR="0064788F">
        <w:tblPrEx>
          <w:tblCellMar>
            <w:top w:w="0" w:type="dxa"/>
            <w:bottom w:w="0" w:type="dxa"/>
          </w:tblCellMar>
        </w:tblPrEx>
        <w:trPr>
          <w:jc w:val="center"/>
        </w:trPr>
        <w:tc>
          <w:tcPr>
            <w:tcW w:w="0" w:type="auto"/>
          </w:tcPr>
          <w:p w:rsidR="0064788F" w:rsidRDefault="0064788F"/>
        </w:tc>
      </w:tr>
      <w:tr w:rsidR="0064788F">
        <w:tblPrEx>
          <w:tblCellMar>
            <w:top w:w="0" w:type="dxa"/>
            <w:bottom w:w="0" w:type="dxa"/>
          </w:tblCellMar>
        </w:tblPrEx>
        <w:trPr>
          <w:jc w:val="center"/>
        </w:trPr>
        <w:tc>
          <w:tcPr>
            <w:tcW w:w="0" w:type="auto"/>
          </w:tcPr>
          <w:p w:rsidR="0064788F" w:rsidRDefault="0064788F"/>
        </w:tc>
      </w:tr>
      <w:tr w:rsidR="0064788F">
        <w:tblPrEx>
          <w:tblCellMar>
            <w:top w:w="0" w:type="dxa"/>
            <w:bottom w:w="0" w:type="dxa"/>
          </w:tblCellMar>
        </w:tblPrEx>
        <w:trPr>
          <w:jc w:val="center"/>
        </w:trPr>
        <w:tc>
          <w:tcPr>
            <w:tcW w:w="0" w:type="auto"/>
          </w:tcPr>
          <w:p w:rsidR="0064788F" w:rsidRDefault="0064788F"/>
        </w:tc>
      </w:tr>
      <w:tr w:rsidR="0064788F">
        <w:tblPrEx>
          <w:tblCellMar>
            <w:top w:w="0" w:type="dxa"/>
            <w:bottom w:w="0" w:type="dxa"/>
          </w:tblCellMar>
        </w:tblPrEx>
        <w:trPr>
          <w:jc w:val="center"/>
        </w:trPr>
        <w:tc>
          <w:tcPr>
            <w:tcW w:w="0" w:type="auto"/>
          </w:tcPr>
          <w:p w:rsidR="0064788F" w:rsidRDefault="0064788F"/>
        </w:tc>
      </w:tr>
      <w:tr w:rsidR="0064788F">
        <w:tblPrEx>
          <w:tblCellMar>
            <w:top w:w="0" w:type="dxa"/>
            <w:bottom w:w="0" w:type="dxa"/>
          </w:tblCellMar>
        </w:tblPrEx>
        <w:trPr>
          <w:jc w:val="center"/>
        </w:trPr>
        <w:tc>
          <w:tcPr>
            <w:tcW w:w="0" w:type="auto"/>
          </w:tcPr>
          <w:p w:rsidR="0064788F" w:rsidRDefault="0064788F"/>
        </w:tc>
      </w:tr>
      <w:tr w:rsidR="0064788F">
        <w:tblPrEx>
          <w:tblCellMar>
            <w:top w:w="0" w:type="dxa"/>
            <w:bottom w:w="0" w:type="dxa"/>
          </w:tblCellMar>
        </w:tblPrEx>
        <w:trPr>
          <w:jc w:val="center"/>
        </w:trPr>
        <w:tc>
          <w:tcPr>
            <w:tcW w:w="0" w:type="auto"/>
          </w:tcPr>
          <w:p w:rsidR="0064788F" w:rsidRDefault="0064788F"/>
        </w:tc>
      </w:tr>
    </w:tbl>
    <w:p w:rsidR="0064788F" w:rsidRDefault="00000000">
      <w:pPr>
        <w:spacing w:before="80" w:after="200"/>
        <w:jc w:val="center"/>
      </w:pPr>
      <w:r>
        <w:rPr>
          <w:rFonts w:ascii="Arial" w:hAnsi="Arial"/>
          <w:i/>
          <w:iCs/>
          <w:sz w:val="18"/>
          <w:szCs w:val="18"/>
        </w:rPr>
        <w:t>Fig. 3. Model-comparison chart showing MAE/RMSE/R² after the final experimental run.</w:t>
      </w:r>
    </w:p>
    <w:p w:rsidR="0064788F" w:rsidRDefault="0064788F">
      <w:pPr>
        <w:sectPr w:rsidR="0064788F">
          <w:footerReference w:type="default" r:id="rId13"/>
          <w:type w:val="continuous"/>
          <w:pgSz w:w="12240" w:h="15840"/>
          <w:pgMar w:top="1080" w:right="1080" w:bottom="1080" w:left="1080" w:header="708" w:footer="708" w:gutter="0"/>
          <w:cols w:space="432"/>
          <w:docGrid w:linePitch="360"/>
        </w:sectPr>
      </w:pPr>
    </w:p>
    <w:p w:rsidR="0064788F" w:rsidRDefault="00000000">
      <w:pPr>
        <w:keepNext/>
        <w:spacing w:before="180" w:after="100"/>
      </w:pPr>
      <w:r>
        <w:rPr>
          <w:rFonts w:ascii="Arial" w:hAnsi="Arial"/>
          <w:b/>
          <w:bCs/>
          <w:i/>
          <w:iCs/>
        </w:rPr>
        <w:t>5.3 Error and Directional Analysis</w:t>
      </w:r>
    </w:p>
    <w:p w:rsidR="0064788F" w:rsidRDefault="00000000">
      <w:pPr>
        <w:spacing w:after="140" w:line="252" w:lineRule="auto"/>
        <w:jc w:val="both"/>
      </w:pPr>
      <w:r>
        <w:rPr>
          <w:rFonts w:ascii="Arial" w:hAnsi="Arial"/>
          <w:i/>
          <w:iCs/>
          <w:color w:val="808080"/>
          <w:sz w:val="19"/>
          <w:szCs w:val="19"/>
        </w:rPr>
        <w:t>Secondary analysis will examine residual distributions, large-error trading days, prediction-versus-actual plots and, where the optional classification target is used, a confusion matrix and ROC curve. This analysis will determine whether a model performs consistently or only during particular market regimes.</w:t>
      </w:r>
    </w:p>
    <w:p w:rsidR="0064788F" w:rsidRDefault="00000000">
      <w:pPr>
        <w:keepNext/>
        <w:spacing w:before="180" w:after="100"/>
      </w:pPr>
      <w:r>
        <w:rPr>
          <w:rFonts w:ascii="Arial" w:hAnsi="Arial"/>
          <w:b/>
          <w:bCs/>
          <w:i/>
          <w:iCs/>
        </w:rPr>
        <w:t>5.4 Feature Importance and Explainability</w:t>
      </w:r>
    </w:p>
    <w:p w:rsidR="0064788F" w:rsidRDefault="00000000">
      <w:pPr>
        <w:spacing w:after="140" w:line="252" w:lineRule="auto"/>
        <w:jc w:val="both"/>
      </w:pPr>
      <w:r>
        <w:rPr>
          <w:rFonts w:ascii="Arial" w:hAnsi="Arial"/>
          <w:i/>
          <w:iCs/>
          <w:color w:val="808080"/>
          <w:sz w:val="19"/>
          <w:szCs w:val="19"/>
        </w:rPr>
        <w:t>Global feature importance will be summarized using model-native importance where available and SHAP values across the test data. For individual predictions, SHAP waterfall/force-style explanations and LIME local explanations will identify the features pushing the forecast upward or downward. These explanations will be interpreted as associations used by the model, not as causal claims.</w:t>
      </w:r>
    </w:p>
    <w:p w:rsidR="0064788F" w:rsidRDefault="00000000">
      <w:pPr>
        <w:keepNext/>
        <w:spacing w:before="260" w:after="120"/>
      </w:pPr>
      <w:r>
        <w:rPr>
          <w:rFonts w:ascii="Arial" w:hAnsi="Arial"/>
          <w:b/>
          <w:bCs/>
          <w:color w:val="1F3864"/>
          <w:sz w:val="21"/>
          <w:szCs w:val="21"/>
        </w:rPr>
        <w:t>6. DISCUSSION</w:t>
      </w:r>
    </w:p>
    <w:p w:rsidR="0064788F" w:rsidRDefault="00000000">
      <w:pPr>
        <w:keepNext/>
        <w:spacing w:before="180" w:after="100"/>
      </w:pPr>
      <w:r>
        <w:rPr>
          <w:rFonts w:ascii="Arial" w:hAnsi="Arial"/>
          <w:b/>
          <w:bCs/>
          <w:i/>
          <w:iCs/>
        </w:rPr>
        <w:t>6.1 Interpretation of Findings</w:t>
      </w:r>
    </w:p>
    <w:p w:rsidR="0064788F" w:rsidRDefault="00000000">
      <w:pPr>
        <w:spacing w:after="140" w:line="252" w:lineRule="auto"/>
        <w:jc w:val="both"/>
      </w:pPr>
      <w:r>
        <w:rPr>
          <w:rFonts w:ascii="Arial" w:hAnsi="Arial"/>
          <w:i/>
          <w:iCs/>
          <w:color w:val="808080"/>
          <w:sz w:val="19"/>
          <w:szCs w:val="19"/>
        </w:rPr>
        <w:t xml:space="preserve">A linear model is valuable as a reference because it shows whether complex nonlinear learning actually adds predictive value. Decision Trees expose threshold effects, Random Forest reduces variance through aggregation, and </w:t>
      </w:r>
      <w:proofErr w:type="spellStart"/>
      <w:r>
        <w:rPr>
          <w:rFonts w:ascii="Arial" w:hAnsi="Arial"/>
          <w:i/>
          <w:iCs/>
          <w:color w:val="808080"/>
          <w:sz w:val="19"/>
          <w:szCs w:val="19"/>
        </w:rPr>
        <w:t>XGBoost</w:t>
      </w:r>
      <w:proofErr w:type="spellEnd"/>
      <w:r>
        <w:rPr>
          <w:rFonts w:ascii="Arial" w:hAnsi="Arial"/>
          <w:i/>
          <w:iCs/>
          <w:color w:val="808080"/>
          <w:sz w:val="19"/>
          <w:szCs w:val="19"/>
        </w:rPr>
        <w:t>/</w:t>
      </w:r>
      <w:proofErr w:type="spellStart"/>
      <w:r>
        <w:rPr>
          <w:rFonts w:ascii="Arial" w:hAnsi="Arial"/>
          <w:i/>
          <w:iCs/>
          <w:color w:val="808080"/>
          <w:sz w:val="19"/>
          <w:szCs w:val="19"/>
        </w:rPr>
        <w:t>CatBoost</w:t>
      </w:r>
      <w:proofErr w:type="spellEnd"/>
      <w:r>
        <w:rPr>
          <w:rFonts w:ascii="Arial" w:hAnsi="Arial"/>
          <w:i/>
          <w:iCs/>
          <w:color w:val="808080"/>
          <w:sz w:val="19"/>
          <w:szCs w:val="19"/>
        </w:rPr>
        <w:t xml:space="preserve"> sequentially improve ensembles by focusing on errors from previous learners. The expected benefit of boosting must be verified empirically because financial regimes change and more complexity does not guarantee better out-of-sample performance.</w:t>
      </w:r>
    </w:p>
    <w:p w:rsidR="0064788F" w:rsidRDefault="00000000">
      <w:pPr>
        <w:keepNext/>
        <w:spacing w:before="180" w:after="100"/>
      </w:pPr>
      <w:r>
        <w:rPr>
          <w:rFonts w:ascii="Arial" w:hAnsi="Arial"/>
          <w:b/>
          <w:bCs/>
          <w:i/>
          <w:iCs/>
        </w:rPr>
        <w:t>6.2 Comparison With Previous Studies</w:t>
      </w:r>
    </w:p>
    <w:p w:rsidR="0064788F" w:rsidRDefault="00000000">
      <w:pPr>
        <w:spacing w:after="140" w:line="252" w:lineRule="auto"/>
        <w:jc w:val="both"/>
      </w:pPr>
      <w:r>
        <w:rPr>
          <w:rFonts w:ascii="Arial" w:hAnsi="Arial"/>
          <w:i/>
          <w:iCs/>
          <w:color w:val="808080"/>
          <w:sz w:val="19"/>
          <w:szCs w:val="19"/>
        </w:rPr>
        <w:t xml:space="preserve">The proposed study is consistent with recent literature showing that model performance varies across markets and periods [1]–[3]. It also follows recent finance-XAI work that combines predictive </w:t>
      </w:r>
      <w:proofErr w:type="spellStart"/>
      <w:r>
        <w:rPr>
          <w:rFonts w:ascii="Arial" w:hAnsi="Arial"/>
          <w:i/>
          <w:iCs/>
          <w:color w:val="808080"/>
          <w:sz w:val="19"/>
          <w:szCs w:val="19"/>
        </w:rPr>
        <w:t>modeling</w:t>
      </w:r>
      <w:proofErr w:type="spellEnd"/>
      <w:r>
        <w:rPr>
          <w:rFonts w:ascii="Arial" w:hAnsi="Arial"/>
          <w:i/>
          <w:iCs/>
          <w:color w:val="808080"/>
          <w:sz w:val="19"/>
          <w:szCs w:val="19"/>
        </w:rPr>
        <w:t xml:space="preserve"> with SHAP and LIME to improve transparency [4]–[8]. The main extension is not claiming a new forecasting algorithm; it is integrating a controlled comparative benchmark, time-series-safe evaluation and dual XAI into a single practical dashboard workflow.</w:t>
      </w:r>
    </w:p>
    <w:p w:rsidR="0064788F" w:rsidRDefault="00000000">
      <w:pPr>
        <w:keepNext/>
        <w:spacing w:before="180" w:after="100"/>
      </w:pPr>
      <w:r>
        <w:rPr>
          <w:rFonts w:ascii="Arial" w:hAnsi="Arial"/>
          <w:b/>
          <w:bCs/>
          <w:i/>
          <w:iCs/>
        </w:rPr>
        <w:t>6.3 Theoretical Implications</w:t>
      </w:r>
    </w:p>
    <w:p w:rsidR="0064788F" w:rsidRDefault="00000000">
      <w:pPr>
        <w:spacing w:after="140" w:line="252" w:lineRule="auto"/>
        <w:jc w:val="both"/>
      </w:pPr>
      <w:r>
        <w:rPr>
          <w:rFonts w:ascii="Arial" w:hAnsi="Arial"/>
          <w:i/>
          <w:iCs/>
          <w:color w:val="808080"/>
          <w:sz w:val="19"/>
          <w:szCs w:val="19"/>
        </w:rPr>
        <w:t xml:space="preserve">The study supports a broader methodological view that predictive accuracy and interpretability should be </w:t>
      </w:r>
      <w:r>
        <w:rPr>
          <w:rFonts w:ascii="Arial" w:hAnsi="Arial"/>
          <w:i/>
          <w:iCs/>
          <w:color w:val="808080"/>
          <w:sz w:val="19"/>
          <w:szCs w:val="19"/>
        </w:rPr>
        <w:t>evaluated together in financial ML. A model should not be selected solely because it has the lowest error on one split; stability across time and understandable feature contributions are also important.</w:t>
      </w:r>
    </w:p>
    <w:p w:rsidR="0064788F" w:rsidRDefault="00000000">
      <w:pPr>
        <w:keepNext/>
        <w:spacing w:before="180" w:after="100"/>
      </w:pPr>
      <w:r>
        <w:rPr>
          <w:rFonts w:ascii="Arial" w:hAnsi="Arial"/>
          <w:b/>
          <w:bCs/>
          <w:i/>
          <w:iCs/>
        </w:rPr>
        <w:t>6.4 Practical Implications</w:t>
      </w:r>
    </w:p>
    <w:p w:rsidR="0064788F" w:rsidRDefault="00000000">
      <w:pPr>
        <w:spacing w:after="140" w:line="252" w:lineRule="auto"/>
        <w:jc w:val="both"/>
      </w:pPr>
      <w:r>
        <w:rPr>
          <w:rFonts w:ascii="Arial" w:hAnsi="Arial"/>
          <w:i/>
          <w:iCs/>
          <w:color w:val="808080"/>
          <w:sz w:val="19"/>
          <w:szCs w:val="19"/>
        </w:rPr>
        <w:t>For practitioners and students, the dashboard can show the predicted next-day close, directional signal, model comparison and the factors that contributed to a specific prediction. This can make the system easier to audit and demonstrate, while the output must be treated as analytical decision support rather than guaranteed investment advice.</w:t>
      </w:r>
    </w:p>
    <w:p w:rsidR="0064788F" w:rsidRDefault="00000000">
      <w:pPr>
        <w:keepNext/>
        <w:spacing w:before="180" w:after="100"/>
      </w:pPr>
      <w:r>
        <w:rPr>
          <w:rFonts w:ascii="Arial" w:hAnsi="Arial"/>
          <w:b/>
          <w:bCs/>
          <w:i/>
          <w:iCs/>
        </w:rPr>
        <w:t>6.5 Unexpected Findings</w:t>
      </w:r>
    </w:p>
    <w:p w:rsidR="0064788F" w:rsidRDefault="00000000">
      <w:pPr>
        <w:spacing w:after="140" w:line="252" w:lineRule="auto"/>
        <w:jc w:val="both"/>
      </w:pPr>
      <w:r>
        <w:rPr>
          <w:rFonts w:ascii="Arial" w:hAnsi="Arial"/>
          <w:i/>
          <w:iCs/>
          <w:color w:val="808080"/>
          <w:sz w:val="19"/>
          <w:szCs w:val="19"/>
        </w:rPr>
        <w:t>An important finding to test is whether the best-performing model changes by stock or time window. Another potentially useful observation is whether technical features such as momentum, moving averages, volatility or volume consistently dominate SHAP explanations. These are hypotheses for the experiment, not claimed results before training.</w:t>
      </w:r>
    </w:p>
    <w:p w:rsidR="0064788F" w:rsidRDefault="00000000">
      <w:pPr>
        <w:keepNext/>
        <w:spacing w:before="260" w:after="120"/>
      </w:pPr>
      <w:r>
        <w:rPr>
          <w:rFonts w:ascii="Arial" w:hAnsi="Arial"/>
          <w:b/>
          <w:bCs/>
          <w:color w:val="1F3864"/>
          <w:sz w:val="21"/>
          <w:szCs w:val="21"/>
        </w:rPr>
        <w:t>7. LIMITATIONS</w:t>
      </w:r>
    </w:p>
    <w:p w:rsidR="0064788F" w:rsidRDefault="00000000">
      <w:pPr>
        <w:pStyle w:val="ListParagraph"/>
        <w:numPr>
          <w:ilvl w:val="0"/>
          <w:numId w:val="3"/>
        </w:numPr>
        <w:spacing w:after="100" w:line="250" w:lineRule="auto"/>
        <w:jc w:val="both"/>
      </w:pPr>
      <w:r>
        <w:rPr>
          <w:rFonts w:ascii="Arial" w:hAnsi="Arial"/>
          <w:sz w:val="19"/>
          <w:szCs w:val="19"/>
        </w:rPr>
        <w:t>The core data source is historical market data; it does not include every macroeconomic, fundamental, news or social-media factor that can influence prices.</w:t>
      </w:r>
    </w:p>
    <w:p w:rsidR="0064788F" w:rsidRDefault="00000000">
      <w:pPr>
        <w:pStyle w:val="ListParagraph"/>
        <w:numPr>
          <w:ilvl w:val="0"/>
          <w:numId w:val="3"/>
        </w:numPr>
        <w:spacing w:after="100" w:line="250" w:lineRule="auto"/>
        <w:jc w:val="both"/>
      </w:pPr>
      <w:r>
        <w:rPr>
          <w:rFonts w:ascii="Arial" w:hAnsi="Arial"/>
          <w:sz w:val="19"/>
          <w:szCs w:val="19"/>
        </w:rPr>
        <w:t>The project predicts a short horizon, primarily the next trading-day close, so conclusions should not be generalized to long-horizon investment performance.</w:t>
      </w:r>
    </w:p>
    <w:p w:rsidR="0064788F" w:rsidRDefault="00000000">
      <w:pPr>
        <w:pStyle w:val="ListParagraph"/>
        <w:numPr>
          <w:ilvl w:val="0"/>
          <w:numId w:val="3"/>
        </w:numPr>
        <w:spacing w:after="100" w:line="250" w:lineRule="auto"/>
        <w:jc w:val="both"/>
      </w:pPr>
      <w:r>
        <w:rPr>
          <w:rFonts w:ascii="Arial" w:hAnsi="Arial"/>
          <w:sz w:val="19"/>
          <w:szCs w:val="19"/>
        </w:rPr>
        <w:t xml:space="preserve">XAI explanations are post-hoc model explanations and describe model </w:t>
      </w:r>
      <w:proofErr w:type="spellStart"/>
      <w:r>
        <w:rPr>
          <w:rFonts w:ascii="Arial" w:hAnsi="Arial"/>
          <w:sz w:val="19"/>
          <w:szCs w:val="19"/>
        </w:rPr>
        <w:t>behavior</w:t>
      </w:r>
      <w:proofErr w:type="spellEnd"/>
      <w:r>
        <w:rPr>
          <w:rFonts w:ascii="Arial" w:hAnsi="Arial"/>
          <w:sz w:val="19"/>
          <w:szCs w:val="19"/>
        </w:rPr>
        <w:t>; they do not establish causal relationships between financial variables and price movements.</w:t>
      </w:r>
    </w:p>
    <w:p w:rsidR="0064788F" w:rsidRDefault="00000000">
      <w:pPr>
        <w:pStyle w:val="ListParagraph"/>
        <w:numPr>
          <w:ilvl w:val="0"/>
          <w:numId w:val="3"/>
        </w:numPr>
        <w:spacing w:after="100" w:line="250" w:lineRule="auto"/>
        <w:jc w:val="both"/>
      </w:pPr>
      <w:r>
        <w:rPr>
          <w:rFonts w:ascii="Arial" w:hAnsi="Arial"/>
          <w:sz w:val="19"/>
          <w:szCs w:val="19"/>
        </w:rPr>
        <w:t>Market regimes change over time. A model that performs well in one period may degrade under structural breaks, unusual volatility or major external events.</w:t>
      </w:r>
    </w:p>
    <w:p w:rsidR="0064788F" w:rsidRDefault="00000000">
      <w:pPr>
        <w:keepNext/>
        <w:spacing w:before="260" w:after="120"/>
      </w:pPr>
      <w:r>
        <w:rPr>
          <w:rFonts w:ascii="Arial" w:hAnsi="Arial"/>
          <w:b/>
          <w:bCs/>
          <w:color w:val="1F3864"/>
          <w:sz w:val="21"/>
          <w:szCs w:val="21"/>
        </w:rPr>
        <w:t>8. CONCLUSION AND FUTURE WORK</w:t>
      </w:r>
    </w:p>
    <w:p w:rsidR="0064788F" w:rsidRDefault="00000000">
      <w:pPr>
        <w:spacing w:after="140" w:line="252" w:lineRule="auto"/>
        <w:jc w:val="both"/>
      </w:pPr>
      <w:r>
        <w:rPr>
          <w:rFonts w:ascii="Arial" w:hAnsi="Arial"/>
          <w:i/>
          <w:iCs/>
          <w:color w:val="808080"/>
          <w:sz w:val="19"/>
          <w:szCs w:val="19"/>
        </w:rPr>
        <w:t xml:space="preserve">This paper proposes and implements an explainable comparative machine-learning framework for stock-market prediction. It combines </w:t>
      </w:r>
      <w:proofErr w:type="spellStart"/>
      <w:r>
        <w:rPr>
          <w:rFonts w:ascii="Arial" w:hAnsi="Arial"/>
          <w:i/>
          <w:iCs/>
          <w:color w:val="808080"/>
          <w:sz w:val="19"/>
          <w:szCs w:val="19"/>
        </w:rPr>
        <w:t>yFinance</w:t>
      </w:r>
      <w:proofErr w:type="spellEnd"/>
      <w:r>
        <w:rPr>
          <w:rFonts w:ascii="Arial" w:hAnsi="Arial"/>
          <w:i/>
          <w:iCs/>
          <w:color w:val="808080"/>
          <w:sz w:val="19"/>
          <w:szCs w:val="19"/>
        </w:rPr>
        <w:t xml:space="preserve">-based historical data collection, systematic EDA, financial feature </w:t>
      </w:r>
      <w:r>
        <w:rPr>
          <w:rFonts w:ascii="Arial" w:hAnsi="Arial"/>
          <w:i/>
          <w:iCs/>
          <w:color w:val="808080"/>
          <w:sz w:val="19"/>
          <w:szCs w:val="19"/>
        </w:rPr>
        <w:lastRenderedPageBreak/>
        <w:t xml:space="preserve">engineering, chronological validation, five ML models, quantitative evaluation, SHAP/LIME explanations and </w:t>
      </w:r>
      <w:proofErr w:type="spellStart"/>
      <w:r>
        <w:rPr>
          <w:rFonts w:ascii="Arial" w:hAnsi="Arial"/>
          <w:i/>
          <w:iCs/>
          <w:color w:val="808080"/>
          <w:sz w:val="19"/>
          <w:szCs w:val="19"/>
        </w:rPr>
        <w:t>Streamlit</w:t>
      </w:r>
      <w:proofErr w:type="spellEnd"/>
      <w:r>
        <w:rPr>
          <w:rFonts w:ascii="Arial" w:hAnsi="Arial"/>
          <w:i/>
          <w:iCs/>
          <w:color w:val="808080"/>
          <w:sz w:val="19"/>
          <w:szCs w:val="19"/>
        </w:rPr>
        <w:t xml:space="preserve"> visualization. The project is designed to compare predictive performance and interpretability under a common pipeline rather than assuming one algorithm is universally superior. Final numerical conclusions will be based only on the completed time-series experiments.</w:t>
      </w:r>
    </w:p>
    <w:p w:rsidR="0064788F" w:rsidRDefault="00000000">
      <w:pPr>
        <w:spacing w:after="140" w:line="252" w:lineRule="auto"/>
        <w:jc w:val="both"/>
      </w:pPr>
      <w:r>
        <w:rPr>
          <w:rFonts w:ascii="Arial" w:hAnsi="Arial"/>
          <w:i/>
          <w:iCs/>
          <w:color w:val="808080"/>
          <w:sz w:val="19"/>
          <w:szCs w:val="19"/>
        </w:rPr>
        <w:t xml:space="preserve">Future work will extend the framework with news and sentiment features, macroeconomic/fundamental variables, probabilistic forecasting and uncertainty estimates. Longer-horizon targets and walk-forward </w:t>
      </w:r>
      <w:proofErr w:type="spellStart"/>
      <w:r>
        <w:rPr>
          <w:rFonts w:ascii="Arial" w:hAnsi="Arial"/>
          <w:i/>
          <w:iCs/>
          <w:color w:val="808080"/>
          <w:sz w:val="19"/>
          <w:szCs w:val="19"/>
        </w:rPr>
        <w:t>backtesting</w:t>
      </w:r>
      <w:proofErr w:type="spellEnd"/>
      <w:r>
        <w:rPr>
          <w:rFonts w:ascii="Arial" w:hAnsi="Arial"/>
          <w:i/>
          <w:iCs/>
          <w:color w:val="808080"/>
          <w:sz w:val="19"/>
          <w:szCs w:val="19"/>
        </w:rPr>
        <w:t xml:space="preserve"> can be evaluated, followed by portfolio-level metrics such as drawdown, Sharpe ratio and transaction-cost-aware profitability. Deep learning and transformer-based models can be added as controlled extensions after the core benchmark is validated.</w:t>
      </w:r>
    </w:p>
    <w:p w:rsidR="0064788F" w:rsidRDefault="00000000">
      <w:pPr>
        <w:keepNext/>
        <w:spacing w:before="260" w:after="120"/>
      </w:pPr>
      <w:r>
        <w:rPr>
          <w:rFonts w:ascii="Arial" w:hAnsi="Arial"/>
          <w:b/>
          <w:bCs/>
          <w:color w:val="1F3864"/>
          <w:sz w:val="21"/>
          <w:szCs w:val="21"/>
        </w:rPr>
        <w:t>DECLARATIONS</w:t>
      </w:r>
    </w:p>
    <w:p w:rsidR="0064788F" w:rsidRDefault="00000000">
      <w:pPr>
        <w:keepNext/>
        <w:spacing w:before="180" w:after="100"/>
      </w:pPr>
      <w:r>
        <w:rPr>
          <w:rFonts w:ascii="Arial" w:hAnsi="Arial"/>
          <w:b/>
          <w:bCs/>
          <w:i/>
          <w:iCs/>
        </w:rPr>
        <w:t>Funding</w:t>
      </w:r>
    </w:p>
    <w:p w:rsidR="0064788F" w:rsidRDefault="00000000">
      <w:pPr>
        <w:spacing w:after="140" w:line="252" w:lineRule="auto"/>
        <w:jc w:val="both"/>
      </w:pPr>
      <w:r>
        <w:rPr>
          <w:rFonts w:ascii="Arial" w:hAnsi="Arial"/>
          <w:i/>
          <w:iCs/>
          <w:color w:val="808080"/>
          <w:sz w:val="19"/>
          <w:szCs w:val="19"/>
        </w:rPr>
        <w:t>No external funding was received for this academic project.</w:t>
      </w:r>
    </w:p>
    <w:p w:rsidR="0064788F" w:rsidRDefault="00000000">
      <w:pPr>
        <w:keepNext/>
        <w:spacing w:before="180" w:after="100"/>
      </w:pPr>
      <w:r>
        <w:rPr>
          <w:rFonts w:ascii="Arial" w:hAnsi="Arial"/>
          <w:b/>
          <w:bCs/>
          <w:i/>
          <w:iCs/>
        </w:rPr>
        <w:t>Conflict of Interest</w:t>
      </w:r>
    </w:p>
    <w:p w:rsidR="0064788F" w:rsidRDefault="00000000">
      <w:pPr>
        <w:spacing w:after="140" w:line="252" w:lineRule="auto"/>
        <w:jc w:val="both"/>
      </w:pPr>
      <w:r>
        <w:rPr>
          <w:rFonts w:ascii="Arial" w:hAnsi="Arial"/>
          <w:i/>
          <w:iCs/>
          <w:color w:val="808080"/>
          <w:sz w:val="19"/>
          <w:szCs w:val="19"/>
        </w:rPr>
        <w:t>The authors declare no conflict of interest.</w:t>
      </w:r>
    </w:p>
    <w:p w:rsidR="0064788F" w:rsidRDefault="00000000">
      <w:pPr>
        <w:keepNext/>
        <w:spacing w:before="180" w:after="100"/>
      </w:pPr>
      <w:r>
        <w:rPr>
          <w:rFonts w:ascii="Arial" w:hAnsi="Arial"/>
          <w:b/>
          <w:bCs/>
          <w:i/>
          <w:iCs/>
        </w:rPr>
        <w:t>Ethics Statement</w:t>
      </w:r>
    </w:p>
    <w:p w:rsidR="0064788F" w:rsidRDefault="00000000">
      <w:pPr>
        <w:spacing w:after="140" w:line="252" w:lineRule="auto"/>
        <w:jc w:val="both"/>
      </w:pPr>
      <w:r>
        <w:rPr>
          <w:rFonts w:ascii="Arial" w:hAnsi="Arial"/>
          <w:i/>
          <w:iCs/>
          <w:color w:val="808080"/>
          <w:sz w:val="19"/>
          <w:szCs w:val="19"/>
        </w:rPr>
        <w:t>The project uses publicly available market information. No private or personally identifiable human-subject data are used, and no human-subject ethics approval is required for the proposed analysis.</w:t>
      </w:r>
    </w:p>
    <w:p w:rsidR="0064788F" w:rsidRDefault="00000000">
      <w:pPr>
        <w:keepNext/>
        <w:spacing w:before="180" w:after="100"/>
      </w:pPr>
      <w:r>
        <w:rPr>
          <w:rFonts w:ascii="Arial" w:hAnsi="Arial"/>
          <w:b/>
          <w:bCs/>
          <w:i/>
          <w:iCs/>
        </w:rPr>
        <w:t>Data Availability</w:t>
      </w:r>
    </w:p>
    <w:p w:rsidR="0064788F" w:rsidRDefault="00000000">
      <w:pPr>
        <w:spacing w:after="140" w:line="252" w:lineRule="auto"/>
        <w:jc w:val="both"/>
      </w:pPr>
      <w:r>
        <w:rPr>
          <w:rFonts w:ascii="Arial" w:hAnsi="Arial"/>
          <w:i/>
          <w:iCs/>
          <w:color w:val="808080"/>
          <w:sz w:val="19"/>
          <w:szCs w:val="19"/>
        </w:rPr>
        <w:t xml:space="preserve">Historical market data are accessed through Yahoo Finance using the </w:t>
      </w:r>
      <w:proofErr w:type="spellStart"/>
      <w:r>
        <w:rPr>
          <w:rFonts w:ascii="Arial" w:hAnsi="Arial"/>
          <w:i/>
          <w:iCs/>
          <w:color w:val="808080"/>
          <w:sz w:val="19"/>
          <w:szCs w:val="19"/>
        </w:rPr>
        <w:t>yFinance</w:t>
      </w:r>
      <w:proofErr w:type="spellEnd"/>
      <w:r>
        <w:rPr>
          <w:rFonts w:ascii="Arial" w:hAnsi="Arial"/>
          <w:i/>
          <w:iCs/>
          <w:color w:val="808080"/>
          <w:sz w:val="19"/>
          <w:szCs w:val="19"/>
        </w:rPr>
        <w:t xml:space="preserve"> Python interface. The project code is designed so that a user can reproduce the collection step for supported tickers and date ranges, subject to data-provider availability and terms.</w:t>
      </w:r>
    </w:p>
    <w:p w:rsidR="0064788F" w:rsidRDefault="00000000">
      <w:pPr>
        <w:keepNext/>
        <w:spacing w:before="180" w:after="100"/>
      </w:pPr>
      <w:r>
        <w:rPr>
          <w:rFonts w:ascii="Arial" w:hAnsi="Arial"/>
          <w:b/>
          <w:bCs/>
          <w:i/>
          <w:iCs/>
        </w:rPr>
        <w:t>Author Contributions</w:t>
      </w:r>
    </w:p>
    <w:p w:rsidR="0064788F" w:rsidRDefault="00000000">
      <w:pPr>
        <w:spacing w:after="140" w:line="252" w:lineRule="auto"/>
        <w:jc w:val="both"/>
      </w:pPr>
      <w:r>
        <w:rPr>
          <w:rFonts w:ascii="Arial" w:hAnsi="Arial"/>
          <w:i/>
          <w:iCs/>
          <w:color w:val="808080"/>
          <w:sz w:val="19"/>
          <w:szCs w:val="19"/>
        </w:rPr>
        <w:t xml:space="preserve">N. Sai Pragathi — literature review, data-analysis design and documentation; S. Indu — preprocessing, feature engineering and experimentation; A.V.N.S. Anupama — machine-learning models, evaluation and comparative analysis; T. Aashritha Reddy — SHAP/LIME integration, </w:t>
      </w:r>
      <w:proofErr w:type="spellStart"/>
      <w:r>
        <w:rPr>
          <w:rFonts w:ascii="Arial" w:hAnsi="Arial"/>
          <w:i/>
          <w:iCs/>
          <w:color w:val="808080"/>
          <w:sz w:val="19"/>
          <w:szCs w:val="19"/>
        </w:rPr>
        <w:t>Streamlit</w:t>
      </w:r>
      <w:proofErr w:type="spellEnd"/>
      <w:r>
        <w:rPr>
          <w:rFonts w:ascii="Arial" w:hAnsi="Arial"/>
          <w:i/>
          <w:iCs/>
          <w:color w:val="808080"/>
          <w:sz w:val="19"/>
          <w:szCs w:val="19"/>
        </w:rPr>
        <w:t xml:space="preserve"> dashboard and documentation. All authors contribute to interpretation and final review.</w:t>
      </w:r>
    </w:p>
    <w:p w:rsidR="0064788F" w:rsidRDefault="00000000">
      <w:pPr>
        <w:keepNext/>
        <w:spacing w:before="180" w:after="100"/>
      </w:pPr>
      <w:r>
        <w:rPr>
          <w:rFonts w:ascii="Arial" w:hAnsi="Arial"/>
          <w:b/>
          <w:bCs/>
          <w:i/>
          <w:iCs/>
        </w:rPr>
        <w:t>Acknowledgements</w:t>
      </w:r>
    </w:p>
    <w:p w:rsidR="0064788F" w:rsidRDefault="00000000">
      <w:pPr>
        <w:spacing w:after="140" w:line="252" w:lineRule="auto"/>
        <w:jc w:val="both"/>
      </w:pPr>
      <w:r>
        <w:rPr>
          <w:rFonts w:ascii="Arial" w:hAnsi="Arial"/>
          <w:i/>
          <w:iCs/>
          <w:color w:val="808080"/>
          <w:sz w:val="19"/>
          <w:szCs w:val="19"/>
        </w:rPr>
        <w:t>The authors acknowledge the project guide, Dr. K. Swapnika, and the open-source Python ecosystem and public financial-data infrastructure used for this academic research prototype.</w:t>
      </w:r>
    </w:p>
    <w:p w:rsidR="0064788F" w:rsidRDefault="0064788F">
      <w:pPr>
        <w:sectPr w:rsidR="0064788F">
          <w:footerReference w:type="default" r:id="rId14"/>
          <w:type w:val="continuous"/>
          <w:pgSz w:w="12240" w:h="15840"/>
          <w:pgMar w:top="1080" w:right="1080" w:bottom="1080" w:left="1080" w:header="708" w:footer="708" w:gutter="0"/>
          <w:cols w:num="2" w:space="432"/>
          <w:docGrid w:linePitch="360"/>
        </w:sectPr>
      </w:pPr>
    </w:p>
    <w:p w:rsidR="0064788F" w:rsidRDefault="00000000">
      <w:pPr>
        <w:keepNext/>
        <w:spacing w:before="260" w:after="120"/>
      </w:pPr>
      <w:r>
        <w:rPr>
          <w:rFonts w:ascii="Arial" w:hAnsi="Arial"/>
          <w:b/>
          <w:bCs/>
          <w:color w:val="1F3864"/>
          <w:sz w:val="21"/>
          <w:szCs w:val="21"/>
        </w:rPr>
        <w:t>REFERENCES</w:t>
      </w:r>
    </w:p>
    <w:p w:rsidR="0064788F" w:rsidRDefault="00000000">
      <w:pPr>
        <w:spacing w:after="90"/>
        <w:ind w:left="316" w:hanging="316"/>
        <w:jc w:val="both"/>
      </w:pPr>
      <w:r>
        <w:rPr>
          <w:rFonts w:ascii="Arial" w:hAnsi="Arial"/>
          <w:sz w:val="16"/>
          <w:szCs w:val="19"/>
        </w:rPr>
        <w:t xml:space="preserve">[1] O. Bustos, A. Pomares-Quimbaya, and R. </w:t>
      </w:r>
      <w:proofErr w:type="spellStart"/>
      <w:r>
        <w:rPr>
          <w:rFonts w:ascii="Arial" w:hAnsi="Arial"/>
          <w:sz w:val="16"/>
          <w:szCs w:val="19"/>
        </w:rPr>
        <w:t>Stellian</w:t>
      </w:r>
      <w:proofErr w:type="spellEnd"/>
      <w:r>
        <w:rPr>
          <w:rFonts w:ascii="Arial" w:hAnsi="Arial"/>
          <w:sz w:val="16"/>
          <w:szCs w:val="19"/>
        </w:rPr>
        <w:t>, “Machine learning, stock market forecasting, and market efficiency: a comparative study,” International Journal of Data Science and Analytics, vol. 20, pp. 6815–6839, 2025.</w:t>
      </w:r>
    </w:p>
    <w:p w:rsidR="0064788F" w:rsidRDefault="00000000">
      <w:pPr>
        <w:spacing w:after="90"/>
        <w:ind w:left="316" w:hanging="316"/>
        <w:jc w:val="both"/>
      </w:pPr>
      <w:r>
        <w:rPr>
          <w:rFonts w:ascii="Arial" w:hAnsi="Arial"/>
          <w:sz w:val="16"/>
          <w:szCs w:val="19"/>
        </w:rPr>
        <w:t>[2] H. H. Htun, M. Biehl, and N. Petkov, “Forecasting relative returns for S&amp;P 500 stocks using machine learning,” Financial Innovation, vol. 10, art. 118, 2024.</w:t>
      </w:r>
    </w:p>
    <w:p w:rsidR="0064788F" w:rsidRDefault="00000000">
      <w:pPr>
        <w:spacing w:after="90"/>
        <w:ind w:left="316" w:hanging="316"/>
        <w:jc w:val="both"/>
      </w:pPr>
      <w:r>
        <w:rPr>
          <w:rFonts w:ascii="Arial" w:hAnsi="Arial"/>
          <w:sz w:val="16"/>
          <w:szCs w:val="19"/>
        </w:rPr>
        <w:t>[3] Z. Zhan and S.-K. Kim, “Versatile time-window sliding machine learning techniques for stock market forecasting,” Artificial Intelligence Review, vol. 57, art. 209, 2024.</w:t>
      </w:r>
    </w:p>
    <w:p w:rsidR="0064788F" w:rsidRDefault="00000000">
      <w:pPr>
        <w:spacing w:after="90"/>
        <w:ind w:left="316" w:hanging="316"/>
        <w:jc w:val="both"/>
      </w:pPr>
      <w:r>
        <w:rPr>
          <w:rFonts w:ascii="Arial" w:hAnsi="Arial"/>
          <w:sz w:val="16"/>
          <w:szCs w:val="19"/>
        </w:rPr>
        <w:t>[4] Y. Kang, D. Ryu, and R. I. Webb, “How well do machine learning models in finance work?,” Financial Innovation, vol. 11, art. 128, 2025.</w:t>
      </w:r>
    </w:p>
    <w:p w:rsidR="0064788F" w:rsidRDefault="00000000">
      <w:pPr>
        <w:spacing w:after="90"/>
        <w:ind w:left="316" w:hanging="316"/>
        <w:jc w:val="both"/>
      </w:pPr>
      <w:r>
        <w:rPr>
          <w:rFonts w:ascii="Arial" w:hAnsi="Arial"/>
          <w:sz w:val="16"/>
          <w:szCs w:val="19"/>
        </w:rPr>
        <w:t>[5] F. S. Khan, S. S. Mazhar, K. Mazhar, D. A. AlSaleh, et al., “Model-agnostic explainable artificial intelligence methods in finance: a systematic review, recent developments, limitations, challenges and future directions,” Artificial Intelligence Review, vol. 58, art. 232, 2025.</w:t>
      </w:r>
    </w:p>
    <w:p w:rsidR="0064788F" w:rsidRDefault="00000000">
      <w:r>
        <w:rPr>
          <w:rFonts w:ascii="Arial" w:hAnsi="Arial"/>
          <w:sz w:val="16"/>
        </w:rPr>
        <w:t>[6] W. J. Yeo, W. Van Der Heever, R. Mao, E. Cambria, R. Satapathy, et al., “A comprehensive review on financial explainable AI,” Artificial Intelligence Review, vol. 58, art. 189, 2025.</w:t>
      </w:r>
    </w:p>
    <w:p w:rsidR="0064788F" w:rsidRDefault="00000000">
      <w:r>
        <w:rPr>
          <w:rFonts w:ascii="Arial" w:hAnsi="Arial"/>
          <w:sz w:val="16"/>
        </w:rPr>
        <w:t xml:space="preserve">[7] J. </w:t>
      </w:r>
      <w:proofErr w:type="spellStart"/>
      <w:r>
        <w:rPr>
          <w:rFonts w:ascii="Arial" w:hAnsi="Arial"/>
          <w:sz w:val="16"/>
        </w:rPr>
        <w:t>Černevičienė</w:t>
      </w:r>
      <w:proofErr w:type="spellEnd"/>
      <w:r>
        <w:rPr>
          <w:rFonts w:ascii="Arial" w:hAnsi="Arial"/>
          <w:sz w:val="16"/>
        </w:rPr>
        <w:t xml:space="preserve"> and A. </w:t>
      </w:r>
      <w:proofErr w:type="spellStart"/>
      <w:r>
        <w:rPr>
          <w:rFonts w:ascii="Arial" w:hAnsi="Arial"/>
          <w:sz w:val="16"/>
        </w:rPr>
        <w:t>Kabašinskas</w:t>
      </w:r>
      <w:proofErr w:type="spellEnd"/>
      <w:r>
        <w:rPr>
          <w:rFonts w:ascii="Arial" w:hAnsi="Arial"/>
          <w:sz w:val="16"/>
        </w:rPr>
        <w:t>, “Explainable artificial intelligence (XAI) in finance: a systematic literature review,” Artificial Intelligence Review, vol. 57, art. 216, 2024.</w:t>
      </w:r>
    </w:p>
    <w:p w:rsidR="0064788F" w:rsidRDefault="00000000">
      <w:r>
        <w:rPr>
          <w:rFonts w:ascii="Arial" w:hAnsi="Arial"/>
          <w:sz w:val="16"/>
        </w:rPr>
        <w:t>[8] T. Berger, “On the information content of explainable artificial intelligence for quantitative approaches in finance,” OR Spectrum, 2025.</w:t>
      </w:r>
    </w:p>
    <w:p w:rsidR="0064788F" w:rsidRDefault="00000000">
      <w:r>
        <w:rPr>
          <w:rFonts w:ascii="Arial" w:hAnsi="Arial"/>
          <w:sz w:val="16"/>
        </w:rPr>
        <w:t xml:space="preserve">[9] “Stock Market Price Prediction Using Machine Learning,” 2024 Second International Conference on Advances in Information Technology (ICAIT), IEEE, 2024, </w:t>
      </w:r>
      <w:proofErr w:type="spellStart"/>
      <w:r>
        <w:rPr>
          <w:rFonts w:ascii="Arial" w:hAnsi="Arial"/>
          <w:sz w:val="16"/>
        </w:rPr>
        <w:t>doi</w:t>
      </w:r>
      <w:proofErr w:type="spellEnd"/>
      <w:r>
        <w:rPr>
          <w:rFonts w:ascii="Arial" w:hAnsi="Arial"/>
          <w:sz w:val="16"/>
        </w:rPr>
        <w:t>: 10.1109/ICAIT61638.2024.10690737.</w:t>
      </w:r>
    </w:p>
    <w:p w:rsidR="0064788F" w:rsidRDefault="00000000">
      <w:r>
        <w:rPr>
          <w:rFonts w:ascii="Arial" w:hAnsi="Arial"/>
          <w:sz w:val="16"/>
        </w:rPr>
        <w:t xml:space="preserve">[10] “Empirical Analysis of AI Methods of Forecasting financial Times Series: A Research on LSTM and ML models in Indian Stock, Commodity and Energy Prices,” 2025 International Conference on Innovations and Emerging Technologies in AI &amp; Communication Systems (IETACS), IEEE, 2025, </w:t>
      </w:r>
      <w:proofErr w:type="spellStart"/>
      <w:r>
        <w:rPr>
          <w:rFonts w:ascii="Arial" w:hAnsi="Arial"/>
          <w:sz w:val="16"/>
        </w:rPr>
        <w:t>doi</w:t>
      </w:r>
      <w:proofErr w:type="spellEnd"/>
      <w:r>
        <w:rPr>
          <w:rFonts w:ascii="Arial" w:hAnsi="Arial"/>
          <w:sz w:val="16"/>
        </w:rPr>
        <w:t>: 10.1109/IETACS68750.2025.11385720.</w:t>
      </w:r>
    </w:p>
    <w:p w:rsidR="0064788F" w:rsidRDefault="00000000">
      <w:r>
        <w:rPr>
          <w:rFonts w:ascii="Arial" w:hAnsi="Arial"/>
          <w:sz w:val="16"/>
        </w:rPr>
        <w:t xml:space="preserve">[11] “A Systematic Literature Review For Stock Price Prediction with Machine Learning,” 2025 11th International Conference on Communication and Signal Processing (ICCSP), IEEE, 2025, </w:t>
      </w:r>
      <w:proofErr w:type="spellStart"/>
      <w:r>
        <w:rPr>
          <w:rFonts w:ascii="Arial" w:hAnsi="Arial"/>
          <w:sz w:val="16"/>
        </w:rPr>
        <w:t>doi</w:t>
      </w:r>
      <w:proofErr w:type="spellEnd"/>
      <w:r>
        <w:rPr>
          <w:rFonts w:ascii="Arial" w:hAnsi="Arial"/>
          <w:sz w:val="16"/>
        </w:rPr>
        <w:t>: 10.1109/ICCSP64183.2025.11088479.</w:t>
      </w:r>
    </w:p>
    <w:p w:rsidR="0064788F" w:rsidRDefault="00000000">
      <w:r>
        <w:rPr>
          <w:rFonts w:ascii="Arial" w:hAnsi="Arial"/>
          <w:sz w:val="16"/>
        </w:rPr>
        <w:t>[12] S. Lundberg and S.-I. Lee, “A unified approach to interpreting model predictions,” Advances in Neural Information Processing Systems (</w:t>
      </w:r>
      <w:proofErr w:type="spellStart"/>
      <w:r>
        <w:rPr>
          <w:rFonts w:ascii="Arial" w:hAnsi="Arial"/>
          <w:sz w:val="16"/>
        </w:rPr>
        <w:t>NeurIPS</w:t>
      </w:r>
      <w:proofErr w:type="spellEnd"/>
      <w:r>
        <w:rPr>
          <w:rFonts w:ascii="Arial" w:hAnsi="Arial"/>
          <w:sz w:val="16"/>
        </w:rPr>
        <w:t>), 2017.</w:t>
      </w:r>
    </w:p>
    <w:p w:rsidR="0064788F" w:rsidRDefault="00000000">
      <w:r>
        <w:rPr>
          <w:rFonts w:ascii="Arial" w:hAnsi="Arial"/>
          <w:sz w:val="16"/>
        </w:rPr>
        <w:t xml:space="preserve">[13] M. T. Ribeiro, S. Singh, and C. </w:t>
      </w:r>
      <w:proofErr w:type="spellStart"/>
      <w:r>
        <w:rPr>
          <w:rFonts w:ascii="Arial" w:hAnsi="Arial"/>
          <w:sz w:val="16"/>
        </w:rPr>
        <w:t>Guestrin</w:t>
      </w:r>
      <w:proofErr w:type="spellEnd"/>
      <w:r>
        <w:rPr>
          <w:rFonts w:ascii="Arial" w:hAnsi="Arial"/>
          <w:sz w:val="16"/>
        </w:rPr>
        <w:t>, “Why should I trust you? Explaining the predictions of any classifier,” Proceedings of the 22nd ACM SIGKDD International Conference on Knowledge Discovery and Data Mining, pp. 1135–1144, 2016.</w:t>
      </w:r>
    </w:p>
    <w:sectPr w:rsidR="0064788F">
      <w:footerReference w:type="default" r:id="rId15"/>
      <w:type w:val="continuous"/>
      <w:pgSz w:w="12240" w:h="15840"/>
      <w:pgMar w:top="1080" w:right="1080" w:bottom="108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3916" w:rsidRDefault="00523916">
      <w:r>
        <w:separator/>
      </w:r>
    </w:p>
  </w:endnote>
  <w:endnote w:type="continuationSeparator" w:id="0">
    <w:p w:rsidR="00523916" w:rsidRDefault="00523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788F" w:rsidRDefault="00000000">
    <w:pPr>
      <w:jc w:val="center"/>
    </w:pPr>
    <w:r>
      <w:rPr>
        <w:rFonts w:ascii="Arial" w:hAnsi="Arial"/>
        <w:sz w:val="14"/>
      </w:rPr>
      <w:t>ML Techniques for Stock Market Prediction — Research Paper Template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788F" w:rsidRDefault="00000000">
    <w:pPr>
      <w:jc w:val="center"/>
    </w:pPr>
    <w:r>
      <w:rPr>
        <w:rFonts w:ascii="Arial" w:hAnsi="Arial"/>
        <w:sz w:val="14"/>
      </w:rPr>
      <w:t>ML Techniques for Stock Market Prediction — Research Paper Template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788F" w:rsidRDefault="00000000">
    <w:pPr>
      <w:jc w:val="center"/>
    </w:pPr>
    <w:r>
      <w:rPr>
        <w:rFonts w:ascii="Arial" w:hAnsi="Arial"/>
        <w:sz w:val="14"/>
      </w:rPr>
      <w:t>ML Techniques for Stock Market Prediction — Research Paper Template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788F" w:rsidRDefault="00000000">
    <w:pPr>
      <w:jc w:val="center"/>
    </w:pPr>
    <w:r>
      <w:rPr>
        <w:rFonts w:ascii="Arial" w:hAnsi="Arial"/>
        <w:sz w:val="14"/>
      </w:rPr>
      <w:t>ML Techniques for Stock Market Prediction — Research Paper Template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788F" w:rsidRDefault="00000000">
    <w:pPr>
      <w:jc w:val="center"/>
    </w:pPr>
    <w:r>
      <w:rPr>
        <w:rFonts w:ascii="Arial" w:hAnsi="Arial"/>
        <w:sz w:val="14"/>
      </w:rPr>
      <w:t>ML Techniques for Stock Market Prediction — Research Paper Template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788F" w:rsidRDefault="00000000">
    <w:pPr>
      <w:jc w:val="center"/>
    </w:pPr>
    <w:r>
      <w:rPr>
        <w:rFonts w:ascii="Arial" w:hAnsi="Arial"/>
        <w:sz w:val="14"/>
      </w:rPr>
      <w:t>ML Techniques for Stock Market Prediction — Research Paper Template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788F" w:rsidRDefault="00000000">
    <w:pPr>
      <w:jc w:val="center"/>
    </w:pPr>
    <w:r>
      <w:rPr>
        <w:rFonts w:ascii="Arial" w:hAnsi="Arial"/>
        <w:sz w:val="14"/>
      </w:rPr>
      <w:t>ML Techniques for Stock Market Prediction — Research Paper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3916" w:rsidRDefault="00523916">
      <w:r>
        <w:separator/>
      </w:r>
    </w:p>
  </w:footnote>
  <w:footnote w:type="continuationSeparator" w:id="0">
    <w:p w:rsidR="00523916" w:rsidRDefault="005239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6D65"/>
    <w:multiLevelType w:val="hybridMultilevel"/>
    <w:tmpl w:val="FEB864B0"/>
    <w:lvl w:ilvl="0" w:tplc="131673EC">
      <w:start w:val="1"/>
      <w:numFmt w:val="decimal"/>
      <w:lvlText w:val="%1."/>
      <w:lvlJc w:val="left"/>
      <w:pPr>
        <w:ind w:left="360" w:hanging="360"/>
      </w:pPr>
    </w:lvl>
    <w:lvl w:ilvl="1" w:tplc="93968942">
      <w:numFmt w:val="decimal"/>
      <w:lvlText w:val=""/>
      <w:lvlJc w:val="left"/>
    </w:lvl>
    <w:lvl w:ilvl="2" w:tplc="261C66EA">
      <w:numFmt w:val="decimal"/>
      <w:lvlText w:val=""/>
      <w:lvlJc w:val="left"/>
    </w:lvl>
    <w:lvl w:ilvl="3" w:tplc="A34C050A">
      <w:numFmt w:val="decimal"/>
      <w:lvlText w:val=""/>
      <w:lvlJc w:val="left"/>
    </w:lvl>
    <w:lvl w:ilvl="4" w:tplc="BA7A788A">
      <w:numFmt w:val="decimal"/>
      <w:lvlText w:val=""/>
      <w:lvlJc w:val="left"/>
    </w:lvl>
    <w:lvl w:ilvl="5" w:tplc="B60C8EBE">
      <w:numFmt w:val="decimal"/>
      <w:lvlText w:val=""/>
      <w:lvlJc w:val="left"/>
    </w:lvl>
    <w:lvl w:ilvl="6" w:tplc="898669DC">
      <w:numFmt w:val="decimal"/>
      <w:lvlText w:val=""/>
      <w:lvlJc w:val="left"/>
    </w:lvl>
    <w:lvl w:ilvl="7" w:tplc="BC4EA6EC">
      <w:numFmt w:val="decimal"/>
      <w:lvlText w:val=""/>
      <w:lvlJc w:val="left"/>
    </w:lvl>
    <w:lvl w:ilvl="8" w:tplc="3692F79C">
      <w:numFmt w:val="decimal"/>
      <w:lvlText w:val=""/>
      <w:lvlJc w:val="left"/>
    </w:lvl>
  </w:abstractNum>
  <w:abstractNum w:abstractNumId="1" w15:restartNumberingAfterBreak="0">
    <w:nsid w:val="1C6B66B5"/>
    <w:multiLevelType w:val="hybridMultilevel"/>
    <w:tmpl w:val="0D524080"/>
    <w:lvl w:ilvl="0" w:tplc="EC006FB2">
      <w:start w:val="1"/>
      <w:numFmt w:val="bullet"/>
      <w:lvlText w:val="•"/>
      <w:lvlJc w:val="left"/>
      <w:pPr>
        <w:ind w:left="288" w:hanging="215"/>
      </w:pPr>
    </w:lvl>
    <w:lvl w:ilvl="1" w:tplc="98D46F42">
      <w:numFmt w:val="decimal"/>
      <w:lvlText w:val=""/>
      <w:lvlJc w:val="left"/>
    </w:lvl>
    <w:lvl w:ilvl="2" w:tplc="9E1E8824">
      <w:numFmt w:val="decimal"/>
      <w:lvlText w:val=""/>
      <w:lvlJc w:val="left"/>
    </w:lvl>
    <w:lvl w:ilvl="3" w:tplc="433EF5B4">
      <w:numFmt w:val="decimal"/>
      <w:lvlText w:val=""/>
      <w:lvlJc w:val="left"/>
    </w:lvl>
    <w:lvl w:ilvl="4" w:tplc="9244E086">
      <w:numFmt w:val="decimal"/>
      <w:lvlText w:val=""/>
      <w:lvlJc w:val="left"/>
    </w:lvl>
    <w:lvl w:ilvl="5" w:tplc="1F4643F4">
      <w:numFmt w:val="decimal"/>
      <w:lvlText w:val=""/>
      <w:lvlJc w:val="left"/>
    </w:lvl>
    <w:lvl w:ilvl="6" w:tplc="651677B2">
      <w:numFmt w:val="decimal"/>
      <w:lvlText w:val=""/>
      <w:lvlJc w:val="left"/>
    </w:lvl>
    <w:lvl w:ilvl="7" w:tplc="89924D20">
      <w:numFmt w:val="decimal"/>
      <w:lvlText w:val=""/>
      <w:lvlJc w:val="left"/>
    </w:lvl>
    <w:lvl w:ilvl="8" w:tplc="42982954">
      <w:numFmt w:val="decimal"/>
      <w:lvlText w:val=""/>
      <w:lvlJc w:val="left"/>
    </w:lvl>
  </w:abstractNum>
  <w:abstractNum w:abstractNumId="2" w15:restartNumberingAfterBreak="0">
    <w:nsid w:val="6CE139AE"/>
    <w:multiLevelType w:val="hybridMultilevel"/>
    <w:tmpl w:val="065C66F2"/>
    <w:lvl w:ilvl="0" w:tplc="BEBCD6F6">
      <w:start w:val="1"/>
      <w:numFmt w:val="bullet"/>
      <w:lvlText w:val="●"/>
      <w:lvlJc w:val="left"/>
      <w:pPr>
        <w:ind w:left="720" w:hanging="360"/>
      </w:pPr>
    </w:lvl>
    <w:lvl w:ilvl="1" w:tplc="4BC6738E">
      <w:start w:val="1"/>
      <w:numFmt w:val="bullet"/>
      <w:lvlText w:val="○"/>
      <w:lvlJc w:val="left"/>
      <w:pPr>
        <w:ind w:left="1440" w:hanging="360"/>
      </w:pPr>
    </w:lvl>
    <w:lvl w:ilvl="2" w:tplc="B1FC7D8C">
      <w:start w:val="1"/>
      <w:numFmt w:val="bullet"/>
      <w:lvlText w:val="■"/>
      <w:lvlJc w:val="left"/>
      <w:pPr>
        <w:ind w:left="2160" w:hanging="360"/>
      </w:pPr>
    </w:lvl>
    <w:lvl w:ilvl="3" w:tplc="C6540AD6">
      <w:start w:val="1"/>
      <w:numFmt w:val="bullet"/>
      <w:lvlText w:val="●"/>
      <w:lvlJc w:val="left"/>
      <w:pPr>
        <w:ind w:left="2880" w:hanging="360"/>
      </w:pPr>
    </w:lvl>
    <w:lvl w:ilvl="4" w:tplc="10A630D2">
      <w:start w:val="1"/>
      <w:numFmt w:val="bullet"/>
      <w:lvlText w:val="○"/>
      <w:lvlJc w:val="left"/>
      <w:pPr>
        <w:ind w:left="3600" w:hanging="360"/>
      </w:pPr>
    </w:lvl>
    <w:lvl w:ilvl="5" w:tplc="3508D038">
      <w:start w:val="1"/>
      <w:numFmt w:val="bullet"/>
      <w:lvlText w:val="■"/>
      <w:lvlJc w:val="left"/>
      <w:pPr>
        <w:ind w:left="4320" w:hanging="360"/>
      </w:pPr>
    </w:lvl>
    <w:lvl w:ilvl="6" w:tplc="72D86948">
      <w:start w:val="1"/>
      <w:numFmt w:val="bullet"/>
      <w:lvlText w:val="●"/>
      <w:lvlJc w:val="left"/>
      <w:pPr>
        <w:ind w:left="5040" w:hanging="360"/>
      </w:pPr>
    </w:lvl>
    <w:lvl w:ilvl="7" w:tplc="881E6B2A">
      <w:start w:val="1"/>
      <w:numFmt w:val="bullet"/>
      <w:lvlText w:val="●"/>
      <w:lvlJc w:val="left"/>
      <w:pPr>
        <w:ind w:left="5760" w:hanging="360"/>
      </w:pPr>
    </w:lvl>
    <w:lvl w:ilvl="8" w:tplc="98B874EC">
      <w:start w:val="1"/>
      <w:numFmt w:val="bullet"/>
      <w:lvlText w:val="●"/>
      <w:lvlJc w:val="left"/>
      <w:pPr>
        <w:ind w:left="6480" w:hanging="360"/>
      </w:pPr>
    </w:lvl>
  </w:abstractNum>
  <w:num w:numId="1" w16cid:durableId="1998218611">
    <w:abstractNumId w:val="2"/>
    <w:lvlOverride w:ilvl="0">
      <w:startOverride w:val="1"/>
    </w:lvlOverride>
  </w:num>
  <w:num w:numId="2" w16cid:durableId="679233146">
    <w:abstractNumId w:val="0"/>
    <w:lvlOverride w:ilvl="0">
      <w:startOverride w:val="1"/>
    </w:lvlOverride>
  </w:num>
  <w:num w:numId="3" w16cid:durableId="6078112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88F"/>
    <w:rsid w:val="001D187F"/>
    <w:rsid w:val="004B0C65"/>
    <w:rsid w:val="00523916"/>
    <w:rsid w:val="006478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AFAEF42"/>
  <w15:docId w15:val="{B8781C79-BB1D-E149-88C7-2A40EC66A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4560</Words>
  <Characters>25996</Characters>
  <Application>Microsoft Office Word</Application>
  <DocSecurity>0</DocSecurity>
  <Lines>216</Lines>
  <Paragraphs>60</Paragraphs>
  <ScaleCrop>false</ScaleCrop>
  <Company/>
  <LinksUpToDate>false</LinksUpToDate>
  <CharactersWithSpaces>30496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Tanek Ghantasala</cp:lastModifiedBy>
  <cp:revision>2</cp:revision>
  <dcterms:created xsi:type="dcterms:W3CDTF">2026-08-27T09:21:00Z</dcterms:created>
  <dcterms:modified xsi:type="dcterms:W3CDTF">2026-09-15T17:18:00Z</dcterms:modified>
</cp:coreProperties>
</file>