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FF5500"/>
          <w:sz w:val="52"/>
        </w:rPr>
        <w:t>GlobalLogic Brand Manual &amp; Style Guide</w:t>
      </w:r>
    </w:p>
    <w:p>
      <w:pPr>
        <w:spacing w:after="360"/>
      </w:pPr>
      <w:r>
        <w:rPr>
          <w:rFonts w:ascii="Arial" w:hAnsi="Arial"/>
          <w:color w:val="555555"/>
          <w:sz w:val="26"/>
        </w:rPr>
        <w:t>Wersja 3.0 – Rozszerzony Podręcznik Identyfikacji Wizualnej i Szablonu Prezentacji z Dodatkowymi Ilustracjami Graficznymi i Infografikami</w:t>
      </w:r>
    </w:p>
    <w:p>
      <w:pPr>
        <w:spacing w:after="280"/>
      </w:pPr>
      <w:r>
        <w:rPr>
          <w:color w:val="FF550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FF5500"/>
          <w:sz w:val="40"/>
        </w:rPr>
        <w:t>Rozdział 1: Wprowadzenie i Standardy Ogólne</w:t>
      </w:r>
    </w:p>
    <w:p>
      <w:r>
        <w:rPr>
          <w:rFonts w:ascii="Arial" w:hAnsi="Arial"/>
        </w:rPr>
        <w:t>Oficjalny podręcznik marki GlobalLogic (A Hitachi Group Company) ustanawia zasady i spójne standardy wizualne dla wszystkich prezentacji firmowych. Niniejsza, trzecia wersja dokumentu została wzbogacona o cyfrowe grafiki oraz infografiki wzorcowe, umożliwiając precyzyjne odtworzenie szaty graficznej slajdów w sytuacjach, gdy oryginalny plik szablonu (.pptx / Google Slides) nie jest bezpośrednio dostępny.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FF5500"/>
          <w:sz w:val="40"/>
        </w:rPr>
        <w:t>Rozdział 2: Klasyfikacja Informacji i Ochrona Danych (Security Labeling)</w:t>
      </w:r>
    </w:p>
    <w:p>
      <w:r>
        <w:rPr>
          <w:rFonts w:ascii="Arial" w:hAnsi="Arial"/>
        </w:rPr>
        <w:t>Bezpieczeństwo danych i ochrona informacji stanowi absolutny priorytet. Każda prezentacja GlobalLogic musi posiadać jednoznaczne oznaczenie poziomu poufności umieszczone w prawym dolnym rogu stopki na każdym slajdzie.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A2F35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Kategoria</w:t>
            </w:r>
          </w:p>
        </w:tc>
        <w:tc>
          <w:tcPr>
            <w:tcW w:type="dxa" w:w="3168"/>
            <w:shd w:val="clear" w:color="auto" w:fill="2A2F35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Opis Wrażliwości Danych</w:t>
            </w:r>
          </w:p>
        </w:tc>
        <w:tc>
          <w:tcPr>
            <w:tcW w:type="dxa" w:w="2880"/>
            <w:shd w:val="clear" w:color="auto" w:fill="2A2F35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Przykłady Treści</w:t>
            </w:r>
          </w:p>
        </w:tc>
        <w:tc>
          <w:tcPr>
            <w:tcW w:type="dxa" w:w="1584"/>
            <w:shd w:val="clear" w:color="auto" w:fill="2A2F35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Etykieta w Stopce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r>
              <w:rPr>
                <w:rFonts w:ascii="Arial" w:hAnsi="Arial"/>
                <w:b/>
                <w:sz w:val="18"/>
              </w:rPr>
              <w:t>Internal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Informacje przeznaczone wyłącznie do użytku wewnętrznego pracowników.</w:t>
            </w:r>
          </w:p>
        </w:tc>
        <w:tc>
          <w:tcPr>
            <w:tcW w:type="dxa" w:w="288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Procedury firmowe, instrukcje, materiały szkoleniowe.</w:t>
            </w:r>
          </w:p>
        </w:tc>
        <w:tc>
          <w:tcPr>
            <w:tcW w:type="dxa" w:w="1584"/>
            <w:shd w:val="clear" w:color="auto" w:fill="F5D061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Confidential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Restricted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Dane o umiarkowanym stopniu wrażliwości dla projektów/zespołów.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Specyfikacje techniczne, statystyki, raporty wewnętrzne.</w:t>
            </w:r>
          </w:p>
        </w:tc>
        <w:tc>
          <w:tcPr>
            <w:tcW w:type="dxa" w:w="1584"/>
            <w:shd w:val="clear" w:color="auto" w:fill="FF572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Restricted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r>
              <w:rPr>
                <w:rFonts w:ascii="Arial" w:hAnsi="Arial"/>
                <w:b/>
                <w:sz w:val="18"/>
              </w:rPr>
              <w:t>Secret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Najbardziej poufne dane biznesowe o ściśle ograniczonym dostępie.</w:t>
            </w:r>
          </w:p>
        </w:tc>
        <w:tc>
          <w:tcPr>
            <w:tcW w:type="dxa" w:w="288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Wyniki finansowe, hasła, kody źródłowe, wyniki R&amp;D.</w:t>
            </w:r>
          </w:p>
        </w:tc>
        <w:tc>
          <w:tcPr>
            <w:tcW w:type="dxa" w:w="1584"/>
            <w:shd w:val="clear" w:color="auto" w:fill="E5393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Secret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Public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Treści otwarte, przeznaczone do rozpowszechniania publicznego.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Broszury marketingowe, komunikaty prasowe, oferty pracy.</w:t>
            </w:r>
          </w:p>
        </w:tc>
        <w:tc>
          <w:tcPr>
            <w:tcW w:type="dxa" w:w="1584"/>
            <w:shd w:val="clear" w:color="auto"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N/A</w:t>
            </w:r>
          </w:p>
        </w:tc>
      </w:tr>
    </w:tbl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_security_lab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sz w:val="17"/>
        </w:rPr>
        <w:t>Rysunek 1: Wizualna matryca etykiet bezpieczeństwa oraz zasada ich umieszczania w stopce slajdu.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FF5500"/>
          <w:sz w:val="40"/>
        </w:rPr>
        <w:t>Rozdział 3: System Typograficzny (Manrope Typeface System)</w:t>
      </w:r>
    </w:p>
    <w:p>
      <w:r>
        <w:rPr>
          <w:rFonts w:ascii="Arial" w:hAnsi="Arial"/>
        </w:rPr>
        <w:t xml:space="preserve">Jedyną oficjalnie dopuszczoną czcionką we wszystkich komunikacjach i prezentacjach firmy jest darmowa czcionka z biblioteki Google Fonts – </w:t>
      </w:r>
      <w:r>
        <w:rPr>
          <w:b/>
        </w:rPr>
        <w:t>Manrope</w:t>
      </w:r>
      <w:r>
        <w:rPr>
          <w:rFonts w:ascii="Arial" w:hAnsi="Arial"/>
        </w:rPr>
        <w:t>. Zapewnia ona nowoczesny, przejrzysty i inżynieryjny charakter treści.</w:t>
      </w:r>
    </w:p>
    <w:p>
      <w:pPr>
        <w:spacing w:before="80"/>
      </w:pPr>
      <w:r>
        <w:rPr>
          <w:b/>
        </w:rPr>
        <w:t>Podstawowa hierarchia wag typograficznych: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Semibold: </w:t>
      </w:r>
      <w:r>
        <w:rPr>
          <w:rFonts w:ascii="Arial" w:hAnsi="Arial"/>
        </w:rPr>
        <w:t>Stosowany dla głównych nagłówków slajdów (Headlines) oraz dużych wyróżnień liczbowych (Numeral Callouts).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Bold: </w:t>
      </w:r>
      <w:r>
        <w:rPr>
          <w:rFonts w:ascii="Arial" w:hAnsi="Arial"/>
        </w:rPr>
        <w:t>Rezerwowany dla tytułów sekcji (Section Titles) oraz nagłówków wewnątrz kart i podbloków tekstowych.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Medium: </w:t>
      </w:r>
      <w:r>
        <w:rPr>
          <w:rFonts w:ascii="Arial" w:hAnsi="Arial"/>
        </w:rPr>
        <w:t>Używany dla podnagłówków (Subheads) i śródtytułów średniej wielkości.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Regular: </w:t>
      </w:r>
      <w:r>
        <w:rPr>
          <w:rFonts w:ascii="Arial" w:hAnsi="Arial"/>
        </w:rPr>
        <w:t>Standardowy tekst główny (Body Copy) oraz dłuższe opisy.</w:t>
      </w:r>
    </w:p>
    <w:p>
      <w:pPr>
        <w:pStyle w:val="ListBullet"/>
        <w:spacing w:after="40"/>
      </w:pPr>
      <w:r>
        <w:rPr>
          <w:rFonts w:ascii="Arial" w:hAnsi="Arial"/>
          <w:b/>
          <w:color w:val="FF5500"/>
        </w:rPr>
        <w:t xml:space="preserve">Bezwzględny Zakaz ALL CAPS: </w:t>
      </w:r>
      <w:r>
        <w:rPr>
          <w:rFonts w:ascii="Arial" w:hAnsi="Arial"/>
        </w:rPr>
        <w:t>Pisanie tekstów wyłącznie wielkimi literami jest NIEDOZWOLONE w całym systemie identyfikacji GlobalLogic.</w:t>
      </w:r>
    </w:p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_typography_hierarc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sz w:val="17"/>
        </w:rPr>
        <w:t>Rysunek 2: Specyfika typograficzna czcionki Manrope oraz wzorzec hierarchii tekstu z regułą zakazu ALL CAPS.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FF5500"/>
          <w:sz w:val="40"/>
        </w:rPr>
        <w:t>Rozdział 4: Paleta Kolorów i Kontrast Tła (Color &amp; WCAG Compliance)</w:t>
      </w:r>
    </w:p>
    <w:p>
      <w:r>
        <w:rPr>
          <w:rFonts w:ascii="Arial" w:hAnsi="Arial"/>
        </w:rPr>
        <w:t>System kolorów GlobalLogic opiera się na stonowanym i przemyślanym operowaniu barwami. Kolory akcentujące są stosowane oszczędnie, aby wzmocnić ich siłę przekazu.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Tło White (Białe): </w:t>
      </w:r>
      <w:r>
        <w:rPr>
          <w:rFonts w:ascii="Arial" w:hAnsi="Arial"/>
        </w:rPr>
        <w:t>Główny tekst w kolorze czarnym (Black). Głównym kolorem wyróżniającym jest pomarańczowy (Orange). Kolor niebieski (Blue) może być stosowany pomocniczo.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Tło Light Steel (Jasnostalowe #F0F2F5): </w:t>
      </w:r>
      <w:r>
        <w:rPr>
          <w:rFonts w:ascii="Arial" w:hAnsi="Arial"/>
        </w:rPr>
        <w:t>Główny tekst w kolorze czarnym. Najlepszym kolorem akcentującym jest niebieski (Blue). UWAGA: Zabrania się stosowania pomarańczowych wyróżnień na tle Light Steel ze względu na niewystarczający kontrast wizualny!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Tło Steel Gray 75 (Ciemnostalowe #3B4252): </w:t>
      </w:r>
      <w:r>
        <w:rPr>
          <w:rFonts w:ascii="Arial" w:hAnsi="Arial"/>
        </w:rPr>
        <w:t>Stosowane wyłącznie dla slajdów sekcyjnych i agendy. Wymaga stosowania tekstu białego (White) lub jasnoszarego (Light Gray).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Paleta Drugorzędna (Infografiki i Dane): </w:t>
      </w:r>
      <w:r>
        <w:rPr>
          <w:rFonts w:ascii="Arial" w:hAnsi="Arial"/>
        </w:rPr>
        <w:t>Stosowana WYŁĄCZNIE na potrzeby wieloelementowych infografik, wykresów i złożonych wizualizacji danych (odcienie Teal, Amber, Purple, Coral).</w:t>
      </w:r>
    </w:p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48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_color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sz w:val="17"/>
        </w:rPr>
        <w:t>Rysunek 3: Matryca doboru kolorów i tła slajdu z wyróżnieniem zabronionego połączenia Orange na tle Light Steel oraz paletą dla infografik.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FF5500"/>
          <w:sz w:val="40"/>
        </w:rPr>
        <w:t>Rozdział 5: Siatka Projektowa i Architektura Slajdu (Master Grid)</w:t>
      </w:r>
    </w:p>
    <w:p>
      <w:r>
        <w:rPr>
          <w:rFonts w:ascii="Arial" w:hAnsi="Arial"/>
        </w:rPr>
        <w:t>Wszystkie układy slajdów w szablonie bazują na stałej siatce pomocniczej Master Grid (format 16:9). Włączając widok prowadnic w programie prezentacji (View &gt; Guides &gt; Show Guides), uzyskujemy precyzyjne strefy wyrównania tekstu i elementów graficznych.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Górna Strefa (Header Zone): </w:t>
      </w:r>
      <w:r>
        <w:rPr>
          <w:rFonts w:ascii="Arial" w:hAnsi="Arial"/>
        </w:rPr>
        <w:t>Mieszcząca logotyp GlobalLogic A Hitachi Group Company (szerokość ok. 2.2 cm) oraz tytuł kategorialny slajdu.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Środkowa Strefa Treści (Content Grid): </w:t>
      </w:r>
      <w:r>
        <w:rPr>
          <w:rFonts w:ascii="Arial" w:hAnsi="Arial"/>
        </w:rPr>
        <w:t>Modularna przestrzeń podzielona na kolumny dla kart, bloki tekstowe, tabele i wykresy.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Dolna Strefa Stopki (Footer Zone): </w:t>
      </w:r>
      <w:r>
        <w:rPr>
          <w:rFonts w:ascii="Arial" w:hAnsi="Arial"/>
        </w:rPr>
        <w:t>Zawierająca nazwisko/nazwę firmy z lewej strony, symbol '+' pośrodku oraz etykietę bezpieczeństwa i numer slajdu z prawej strony.</w:t>
      </w:r>
    </w:p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480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_master_grid_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sz w:val="17"/>
        </w:rPr>
        <w:t>Rysunek 4: Schemat budowy siatki projektowej Master Grid dla formatu panoramicznego 16:9.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FF5500"/>
          <w:sz w:val="40"/>
        </w:rPr>
        <w:t>Rozdział 6: Infografiki, Układy Slajdów i Elementy Graficzne (Visual Infographic Recipes)</w:t>
      </w:r>
    </w:p>
    <w:p>
      <w:r>
        <w:rPr>
          <w:rFonts w:ascii="Arial" w:hAnsi="Arial"/>
        </w:rPr>
        <w:t>Poniżej przedstawiono szczegółowe wzorce graficzne i sposoby odtwarzania 12 kluczowych układów slajdów oraz infografik zawartych w oryginalnym szablonie GlobalLogic: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01. Slajdy Tytułowe (Covers + Titles): </w:t>
      </w:r>
      <w:r>
        <w:rPr>
          <w:rFonts w:ascii="Arial" w:hAnsi="Arial"/>
        </w:rPr>
        <w:t>Stosują czyste białe lub jasnoszare tło. Duży tytuł Manrope Semibold (czarny), podtytuł w kolorze niebieskim lub pomarańczowym oraz logotyp w prawym górnym rogu.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02. Wprowadzenie i Kontakt (Intros + Contact): </w:t>
      </w:r>
      <w:r>
        <w:rPr>
          <w:rFonts w:ascii="Arial" w:hAnsi="Arial"/>
        </w:rPr>
        <w:t>Układy 2-kolumnowe z dużym nagłówkiem po lewej stronie i listą adresatów/kontaktów po prawej stronie.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03. Agendy i Spis Treści (Agendas + TOC): </w:t>
      </w:r>
      <w:r>
        <w:rPr>
          <w:rFonts w:ascii="Arial" w:hAnsi="Arial"/>
        </w:rPr>
        <w:t>Prezentują numery sekcji (01, 02, 03) zapisaną dużą czcionką w kolorze pomarańczowym z wyrównaniem do lewej krawędzi.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04. Slajdy Sekcyjne (Divider Slides): </w:t>
      </w:r>
      <w:r>
        <w:rPr>
          <w:rFonts w:ascii="Arial" w:hAnsi="Arial"/>
        </w:rPr>
        <w:t>Wymagają pełnego pomarańczowego tła (Orange) z białym tekstem i dwucyfrową numeracją sekcji.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05. Slajdy Tekstowe i Karty (Text Slides &amp; Cards): </w:t>
      </w:r>
      <w:r>
        <w:rPr>
          <w:rFonts w:ascii="Arial" w:hAnsi="Arial"/>
        </w:rPr>
        <w:t>Wykorzystują prostokątne pojemniki (Cards) w kolorze Light Steel z charakterystycznym ścięciem lub zaokrągleniem narożników.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06. Tekst i Zdjęcia (Text + Images): </w:t>
      </w:r>
      <w:r>
        <w:rPr>
          <w:rFonts w:ascii="Arial" w:hAnsi="Arial"/>
        </w:rPr>
        <w:t>Zdjęcia są osadzane w prostokątnych ramach z delikatnie zcięciami narożników, z zachowaniem marginesów.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07. Tekst i Ikony (Text + Icons): </w:t>
      </w:r>
      <w:r>
        <w:rPr>
          <w:rFonts w:ascii="Arial" w:hAnsi="Arial"/>
        </w:rPr>
        <w:t>Liniowe ikony wektorowe w odcieniach łososiowych/pomarańczowych umieszczane nad krótkimi blokami tekstowymi.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08. Duże Wyróżnienia Liczbowe i Cytaty (Big Statements + Callouts): </w:t>
      </w:r>
      <w:r>
        <w:rPr>
          <w:rFonts w:ascii="Arial" w:hAnsi="Arial"/>
        </w:rPr>
        <w:t>Gigantyczne cyfry w kolorze Blue (na tle Light Steel) z krótkim opisem wyjaśniającym poniżej.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09. Osie Czasu, Tabele i Wykresy (Timelines, Tables &amp; Charts): </w:t>
      </w:r>
      <w:r>
        <w:rPr>
          <w:rFonts w:ascii="Arial" w:hAnsi="Arial"/>
        </w:rPr>
        <w:t>Poziome linie czasu łączące cykliczne punkty numerowane (1-2-3-4) z etykietami pod osią.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10. Zespół i Biogramy (Teams + Bios): </w:t>
      </w:r>
      <w:r>
        <w:rPr>
          <w:rFonts w:ascii="Arial" w:hAnsi="Arial"/>
        </w:rPr>
        <w:t>Symetryczne siatki 3 lub 4 kolumnowe z kwadratowymi/zaokrąglonymi zdjęciami członków zespołu.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11. Studia Przypadków (Case Study Slides): </w:t>
      </w:r>
      <w:r>
        <w:rPr>
          <w:rFonts w:ascii="Arial" w:hAnsi="Arial"/>
        </w:rPr>
        <w:t>Podział na podsumowanie wyzwania (Challenge), rozwiązania (Solution) oraz mierzalnych rezultatów (Impact).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12. Biblioteka Ikon Wektorowych (Icon Library Rules): </w:t>
      </w:r>
      <w:r>
        <w:rPr>
          <w:rFonts w:ascii="Arial" w:hAnsi="Arial"/>
        </w:rPr>
        <w:t>Zasady używania prostych, 2-kolorowych ikon wektorowych bez cieni i bez skomplikowanych gradientów.</w:t>
      </w:r>
    </w:p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_infographic_layou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sz w:val="17"/>
        </w:rPr>
        <w:t>Rysunek 5: Wzorce układów infograficznych – pozioma oś czasu, duże wyróżnienia liczbowe oraz moduły kart.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FF5500"/>
          <w:sz w:val="40"/>
        </w:rPr>
        <w:t>Rozdział 7: Podsumowanie – Tabela Nakazów i Zakazów (Do's &amp; Don'ts)</w:t>
      </w:r>
    </w:p>
    <w:p>
      <w:r>
        <w:rPr>
          <w:rFonts w:ascii="Arial" w:hAnsi="Arial"/>
        </w:rPr>
        <w:t>Podsumowanie najważniejszych dobrych i złych praktyk projektowych do szybkiej weryfikacji prezentacji przed publikacją: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2E7D32"/>
          </w:tcPr>
          <w:p>
            <w:r>
              <w:rPr>
                <w:b/>
                <w:color w:val="FFFFFF"/>
              </w:rPr>
              <w:t>ZALECANE (DO'S)</w:t>
            </w:r>
          </w:p>
        </w:tc>
        <w:tc>
          <w:tcPr>
            <w:tcW w:type="dxa" w:w="4608"/>
            <w:shd w:val="clear" w:color="auto" w:fill="C62828"/>
          </w:tcPr>
          <w:p>
            <w:r>
              <w:rPr>
                <w:b/>
                <w:color w:val="FFFFFF"/>
              </w:rPr>
              <w:t>ZABRONIONE (DON'TS)</w:t>
            </w:r>
          </w:p>
        </w:tc>
      </w:tr>
      <w:tr>
        <w:tc>
          <w:tcPr>
            <w:tcW w:type="dxa" w:w="4608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✓ Używaj wyłącznie czcionki Manrope we wszystkich wagach.</w:t>
            </w:r>
          </w:p>
        </w:tc>
        <w:tc>
          <w:tcPr>
            <w:tcW w:type="dxa" w:w="4608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✗ Nie stosuj czcionek zastępczych (Arial, Calibri, Times New Roman).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✓ Używaj koloru niebieskiego (Blue) jako akcentu na tle Light Steel.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✗ ZABRANIA SIĘ stosowania pomarańczowych wyróżnień na tle Light Steel.</w:t>
            </w:r>
          </w:p>
        </w:tc>
      </w:tr>
      <w:tr>
        <w:tc>
          <w:tcPr>
            <w:tcW w:type="dxa" w:w="4608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✓ Zachowuj czyste, białe tło dla ponad 80% slajdów w prezentacji.</w:t>
            </w:r>
          </w:p>
        </w:tc>
        <w:tc>
          <w:tcPr>
            <w:tcW w:type="dxa" w:w="4608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✗ Nie używaj ciemnego tła Steel Gray 75 na slajdach z dużą ilością tekstu.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✓ Stosuj dwucyfrową numerację sekcji (01, 02, 03).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✗ NIGDY nie pisz nagłówków ani tekstu wielkimi literami (ALL CAPS).</w:t>
            </w:r>
          </w:p>
        </w:tc>
      </w:tr>
      <w:tr>
        <w:tc>
          <w:tcPr>
            <w:tcW w:type="dxa" w:w="4608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✓ Umieszczaj właściwą etykietę bezpieczeństwa w prawym dolnym rogu.</w:t>
            </w:r>
          </w:p>
        </w:tc>
        <w:tc>
          <w:tcPr>
            <w:tcW w:type="dxa" w:w="4608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✗ Nie usuwaj oznaczeń praw autorskich i stopki firmowej z szablonu.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GlobalLogic - A Hitachi Group Company  |  Confidential Style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GlobalLogic Brand Guidelines &amp; Presentation Style Guide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8888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8888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