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80"/>
        <w:jc w:val="center"/>
      </w:pPr>
      <w:r>
        <w:drawing>
          <wp:inline xmlns:a="http://schemas.openxmlformats.org/drawingml/2006/main" xmlns:pic="http://schemas.openxmlformats.org/drawingml/2006/picture">
            <wp:extent cx="5806440" cy="1935480"/>
            <wp:docPr id="1" name="Picture 1" descr="Ascend mountain emblem, wordmark, and Higher Each Rep tagline" title="Ascend mountain emblem, wordmark, and Higher Each Rep tagline"/>
            <wp:cNvGraphicFramePr>
              <a:graphicFrameLocks noChangeAspect="1"/>
            </wp:cNvGraphicFramePr>
            <a:graphic>
              <a:graphicData uri="http://schemas.openxmlformats.org/drawingml/2006/picture">
                <pic:pic>
                  <pic:nvPicPr>
                    <pic:cNvPr id="0" name="01_ascend_mountain_emblem_logo.png"/>
                    <pic:cNvPicPr/>
                  </pic:nvPicPr>
                  <pic:blipFill>
                    <a:blip r:embed="rId10"/>
                    <a:stretch>
                      <a:fillRect/>
                    </a:stretch>
                  </pic:blipFill>
                  <pic:spPr>
                    <a:xfrm>
                      <a:off x="0" y="0"/>
                      <a:ext cx="5806440" cy="1935480"/>
                    </a:xfrm>
                    <a:prstGeom prst="rect"/>
                  </pic:spPr>
                </pic:pic>
              </a:graphicData>
            </a:graphic>
          </wp:inline>
        </w:drawing>
      </w:r>
    </w:p>
    <w:p>
      <w:pPr>
        <w:pStyle w:val="Title"/>
        <w:pBdr>
          <w:top w:val="nil"/>
          <w:left w:val="nil"/>
          <w:bottom w:val="nil"/>
          <w:right w:val="nil"/>
          <w:between w:val="nil"/>
          <w:bar w:val="nil"/>
        </w:pBdr>
      </w:pPr>
      <w:r>
        <w:t>Ascend Backend API Rebrand Change Description</w:t>
      </w:r>
    </w:p>
    <w:p>
      <w:pPr>
        <w:spacing w:after="560"/>
      </w:pPr>
      <w:r>
        <w:rPr>
          <w:rFonts w:ascii="Aptos" w:hAnsi="Aptos"/>
          <w:b w:val="0"/>
          <w:i w:val="0"/>
          <w:color w:val="62584F"/>
          <w:sz w:val="26"/>
        </w:rPr>
        <w:t>Mobile integration impact and compatibility reference</w:t>
      </w:r>
    </w:p>
    <w:p>
      <w:pPr>
        <w:spacing w:after="140" w:line="269" w:lineRule="auto"/>
      </w:pPr>
      <w:r>
        <w:rPr>
          <w:rFonts w:ascii="Aptos" w:hAnsi="Aptos"/>
          <w:b/>
          <w:i w:val="0"/>
          <w:color w:val="211B17"/>
          <w:sz w:val="20"/>
        </w:rPr>
        <w:t>Version 1.0</w:t>
      </w:r>
      <w:r>
        <w:rPr>
          <w:rFonts w:ascii="Aptos" w:hAnsi="Aptos"/>
          <w:b w:val="0"/>
          <w:i w:val="0"/>
          <w:color w:val="483E36"/>
          <w:sz w:val="20"/>
        </w:rPr>
        <w:t xml:space="preserve">  |  13 September 2026</w:t>
      </w:r>
    </w:p>
    <w:p>
      <w:pPr>
        <w:pStyle w:val="Heading2"/>
        <w:keepNext/>
      </w:pPr>
      <w:r>
        <w:t>Conclusion</w:t>
      </w:r>
    </w:p>
    <w:p>
      <w:pPr>
        <w:spacing w:after="140" w:line="269" w:lineRule="auto"/>
      </w:pPr>
      <w:r>
        <w:rPr>
          <w:rFonts w:ascii="Aptos" w:hAnsi="Aptos"/>
          <w:b w:val="0"/>
          <w:i w:val="0"/>
          <w:color w:val="483E36"/>
          <w:sz w:val="20"/>
        </w:rPr>
        <w:t>The backend changes are customer-facing brand updates from Xenoh to Ascend. They do not add, remove, or rename API endpoints, HTTP methods, request fields, response schemas, authentication contracts, server URLs, or the API version. Mobile clients can keep their existing networking layer and models. They should update visible copy and expect Ascend wording in selected messages, emails, AI content, and generated share images.</w:t>
      </w:r>
    </w:p>
    <w:p>
      <w:pPr>
        <w:pStyle w:val="Heading2"/>
        <w:keepNext/>
      </w:pPr>
      <w:r>
        <w:t>Comparison basis</w:t>
      </w:r>
    </w:p>
    <w:p>
      <w:pPr>
        <w:spacing w:after="140" w:line="269" w:lineRule="auto"/>
      </w:pPr>
      <w:r>
        <w:rPr>
          <w:rFonts w:ascii="Aptos" w:hAnsi="Aptos"/>
          <w:b w:val="0"/>
          <w:i w:val="0"/>
          <w:color w:val="483E36"/>
          <w:sz w:val="20"/>
        </w:rPr>
        <w:t>This document compares the current Xenoh backend working tree with its current Git HEAD. It describes the tracked rebrand changes in API, Application, and Infrastructure code plus the checked-in OpenAPI document. Unrelated untracked test files are excluded.</w:t>
      </w:r>
    </w:p>
    <w:p>
      <w:r>
        <w:br w:type="page"/>
      </w:r>
    </w:p>
    <w:p>
      <w:pPr>
        <w:pStyle w:val="Heading1"/>
        <w:keepNext/>
      </w:pPr>
      <w:r>
        <w:t>1 Change classification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736"/>
            <w:shd w:fill="211B17"/>
            <w:tcMar>
              <w:top w:w="110" w:type="dxa"/>
              <w:start w:w="130" w:type="dxa"/>
              <w:bottom w:w="110" w:type="dxa"/>
              <w:end w:w="130" w:type="dxa"/>
            </w:tcMar>
            <w:vAlign w:val="center"/>
          </w:tcPr>
          <w:p>
            <w:pPr>
              <w:spacing w:after="0"/>
              <w:jc w:val="left"/>
            </w:pPr>
            <w:r>
              <w:rPr>
                <w:rFonts w:ascii="Aptos" w:hAnsi="Aptos"/>
                <w:b/>
                <w:i w:val="0"/>
                <w:color w:val="FFFFFF"/>
                <w:sz w:val="17"/>
              </w:rPr>
              <w:t>Area</w:t>
            </w:r>
          </w:p>
        </w:tc>
        <w:tc>
          <w:tcPr>
            <w:tcW w:type="dxa" w:w="3312"/>
            <w:shd w:fill="211B17"/>
            <w:tcMar>
              <w:top w:w="110" w:type="dxa"/>
              <w:start w:w="130" w:type="dxa"/>
              <w:bottom w:w="110" w:type="dxa"/>
              <w:end w:w="130" w:type="dxa"/>
            </w:tcMar>
            <w:vAlign w:val="center"/>
          </w:tcPr>
          <w:p>
            <w:pPr>
              <w:spacing w:after="0"/>
              <w:jc w:val="left"/>
            </w:pPr>
            <w:r>
              <w:rPr>
                <w:rFonts w:ascii="Aptos" w:hAnsi="Aptos"/>
                <w:b/>
                <w:i w:val="0"/>
                <w:color w:val="FFFFFF"/>
                <w:sz w:val="17"/>
              </w:rPr>
              <w:t>Result</w:t>
            </w:r>
          </w:p>
        </w:tc>
        <w:tc>
          <w:tcPr>
            <w:tcW w:type="dxa" w:w="3744"/>
            <w:shd w:fill="211B17"/>
            <w:tcMar>
              <w:top w:w="110" w:type="dxa"/>
              <w:start w:w="130" w:type="dxa"/>
              <w:bottom w:w="110" w:type="dxa"/>
              <w:end w:w="130" w:type="dxa"/>
            </w:tcMar>
            <w:vAlign w:val="center"/>
          </w:tcPr>
          <w:p>
            <w:pPr>
              <w:spacing w:after="0"/>
              <w:jc w:val="left"/>
            </w:pPr>
            <w:r>
              <w:rPr>
                <w:rFonts w:ascii="Aptos" w:hAnsi="Aptos"/>
                <w:b/>
                <w:i w:val="0"/>
                <w:color w:val="FFFFFF"/>
                <w:sz w:val="17"/>
              </w:rPr>
              <w:t>Mobile impact</w:t>
            </w:r>
          </w:p>
        </w:tc>
      </w:tr>
      <w:tr>
        <w:tc>
          <w:tcPr>
            <w:tcW w:type="dxa" w:w="2736"/>
            <w:tcMar>
              <w:top w:w="110" w:type="dxa"/>
              <w:start w:w="130" w:type="dxa"/>
              <w:bottom w:w="110" w:type="dxa"/>
              <w:end w:w="130" w:type="dxa"/>
            </w:tcMar>
            <w:vAlign w:val="center"/>
          </w:tcPr>
          <w:p>
            <w:pPr>
              <w:spacing w:after="0" w:line="252" w:lineRule="auto"/>
            </w:pPr>
            <w:r>
              <w:rPr>
                <w:rFonts w:ascii="Aptos" w:hAnsi="Aptos"/>
                <w:b w:val="0"/>
                <w:i w:val="0"/>
                <w:color w:val="483E36"/>
                <w:sz w:val="17"/>
              </w:rPr>
              <w:t>Routes and HTTP methods</w:t>
            </w:r>
          </w:p>
        </w:tc>
        <w:tc>
          <w:tcPr>
            <w:tcW w:type="dxa" w:w="3312"/>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c>
          <w:tcPr>
            <w:tcW w:type="dxa" w:w="3744"/>
            <w:tcMar>
              <w:top w:w="110" w:type="dxa"/>
              <w:start w:w="130" w:type="dxa"/>
              <w:bottom w:w="110" w:type="dxa"/>
              <w:end w:w="130" w:type="dxa"/>
            </w:tcMar>
            <w:vAlign w:val="center"/>
          </w:tcPr>
          <w:p>
            <w:pPr>
              <w:spacing w:after="0" w:line="252" w:lineRule="auto"/>
            </w:pPr>
            <w:r>
              <w:rPr>
                <w:rFonts w:ascii="Aptos" w:hAnsi="Aptos"/>
                <w:b w:val="0"/>
                <w:i w:val="0"/>
                <w:color w:val="483E36"/>
                <w:sz w:val="17"/>
              </w:rPr>
              <w:t>No client routing changes</w:t>
            </w:r>
          </w:p>
        </w:tc>
      </w:tr>
      <w:tr>
        <w:tc>
          <w:tcPr>
            <w:tcW w:type="dxa" w:w="273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Request DTOs</w:t>
            </w:r>
          </w:p>
        </w:tc>
        <w:tc>
          <w:tcPr>
            <w:tcW w:type="dxa" w:w="331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c>
          <w:tcPr>
            <w:tcW w:type="dxa" w:w="3744"/>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No request-model changes</w:t>
            </w:r>
          </w:p>
        </w:tc>
      </w:tr>
      <w:tr>
        <w:tc>
          <w:tcPr>
            <w:tcW w:type="dxa" w:w="2736"/>
            <w:tcMar>
              <w:top w:w="110" w:type="dxa"/>
              <w:start w:w="130" w:type="dxa"/>
              <w:bottom w:w="110" w:type="dxa"/>
              <w:end w:w="130" w:type="dxa"/>
            </w:tcMar>
            <w:vAlign w:val="center"/>
          </w:tcPr>
          <w:p>
            <w:pPr>
              <w:spacing w:after="0" w:line="252" w:lineRule="auto"/>
            </w:pPr>
            <w:r>
              <w:rPr>
                <w:rFonts w:ascii="Aptos" w:hAnsi="Aptos"/>
                <w:b w:val="0"/>
                <w:i w:val="0"/>
                <w:color w:val="483E36"/>
                <w:sz w:val="17"/>
              </w:rPr>
              <w:t>Response schemas</w:t>
            </w:r>
          </w:p>
        </w:tc>
        <w:tc>
          <w:tcPr>
            <w:tcW w:type="dxa" w:w="3312"/>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c>
          <w:tcPr>
            <w:tcW w:type="dxa" w:w="3744"/>
            <w:tcMar>
              <w:top w:w="110" w:type="dxa"/>
              <w:start w:w="130" w:type="dxa"/>
              <w:bottom w:w="110" w:type="dxa"/>
              <w:end w:w="130" w:type="dxa"/>
            </w:tcMar>
            <w:vAlign w:val="center"/>
          </w:tcPr>
          <w:p>
            <w:pPr>
              <w:spacing w:after="0" w:line="252" w:lineRule="auto"/>
            </w:pPr>
            <w:r>
              <w:rPr>
                <w:rFonts w:ascii="Aptos" w:hAnsi="Aptos"/>
                <w:b w:val="0"/>
                <w:i w:val="0"/>
                <w:color w:val="483E36"/>
                <w:sz w:val="17"/>
              </w:rPr>
              <w:t>No response-model regeneration</w:t>
            </w:r>
          </w:p>
        </w:tc>
      </w:tr>
      <w:tr>
        <w:tc>
          <w:tcPr>
            <w:tcW w:type="dxa" w:w="273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Authentication and authorization</w:t>
            </w:r>
          </w:p>
        </w:tc>
        <w:tc>
          <w:tcPr>
            <w:tcW w:type="dxa" w:w="331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c>
          <w:tcPr>
            <w:tcW w:type="dxa" w:w="3744"/>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Keep existing JWT and policy handling</w:t>
            </w:r>
          </w:p>
        </w:tc>
      </w:tr>
      <w:tr>
        <w:tc>
          <w:tcPr>
            <w:tcW w:type="dxa" w:w="2736"/>
            <w:tcMar>
              <w:top w:w="110" w:type="dxa"/>
              <w:start w:w="130" w:type="dxa"/>
              <w:bottom w:w="110" w:type="dxa"/>
              <w:end w:w="130" w:type="dxa"/>
            </w:tcMar>
            <w:vAlign w:val="center"/>
          </w:tcPr>
          <w:p>
            <w:pPr>
              <w:spacing w:after="0" w:line="252" w:lineRule="auto"/>
            </w:pPr>
            <w:r>
              <w:rPr>
                <w:rFonts w:ascii="Aptos" w:hAnsi="Aptos"/>
                <w:b w:val="0"/>
                <w:i w:val="0"/>
                <w:color w:val="483E36"/>
                <w:sz w:val="17"/>
              </w:rPr>
              <w:t>API title</w:t>
            </w:r>
          </w:p>
        </w:tc>
        <w:tc>
          <w:tcPr>
            <w:tcW w:type="dxa" w:w="3312"/>
            <w:tcMar>
              <w:top w:w="110" w:type="dxa"/>
              <w:start w:w="130" w:type="dxa"/>
              <w:bottom w:w="110" w:type="dxa"/>
              <w:end w:w="130" w:type="dxa"/>
            </w:tcMar>
            <w:vAlign w:val="center"/>
          </w:tcPr>
          <w:p>
            <w:pPr>
              <w:spacing w:after="0" w:line="252" w:lineRule="auto"/>
            </w:pPr>
            <w:r>
              <w:rPr>
                <w:rFonts w:ascii="Aptos" w:hAnsi="Aptos"/>
                <w:b w:val="0"/>
                <w:i w:val="0"/>
                <w:color w:val="483E36"/>
                <w:sz w:val="17"/>
              </w:rPr>
              <w:t>Xenoh API to Ascend API</w:t>
            </w:r>
          </w:p>
        </w:tc>
        <w:tc>
          <w:tcPr>
            <w:tcW w:type="dxa" w:w="3744"/>
            <w:tcMar>
              <w:top w:w="110" w:type="dxa"/>
              <w:start w:w="130" w:type="dxa"/>
              <w:bottom w:w="110" w:type="dxa"/>
              <w:end w:w="130" w:type="dxa"/>
            </w:tcMar>
            <w:vAlign w:val="center"/>
          </w:tcPr>
          <w:p>
            <w:pPr>
              <w:spacing w:after="0" w:line="252" w:lineRule="auto"/>
            </w:pPr>
            <w:r>
              <w:rPr>
                <w:rFonts w:ascii="Aptos" w:hAnsi="Aptos"/>
                <w:b w:val="0"/>
                <w:i w:val="0"/>
                <w:color w:val="483E36"/>
                <w:sz w:val="17"/>
              </w:rPr>
              <w:t>Documentation display only</w:t>
            </w:r>
          </w:p>
        </w:tc>
      </w:tr>
      <w:tr>
        <w:tc>
          <w:tcPr>
            <w:tcW w:type="dxa" w:w="273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Selected message text</w:t>
            </w:r>
          </w:p>
        </w:tc>
        <w:tc>
          <w:tcPr>
            <w:tcW w:type="dxa" w:w="331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Xenoh to Ascend</w:t>
            </w:r>
          </w:p>
        </w:tc>
        <w:tc>
          <w:tcPr>
            <w:tcW w:type="dxa" w:w="3744"/>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Update snapshots and exact string checks</w:t>
            </w:r>
          </w:p>
        </w:tc>
      </w:tr>
      <w:tr>
        <w:tc>
          <w:tcPr>
            <w:tcW w:type="dxa" w:w="2736"/>
            <w:tcMar>
              <w:top w:w="110" w:type="dxa"/>
              <w:start w:w="130" w:type="dxa"/>
              <w:bottom w:w="110" w:type="dxa"/>
              <w:end w:w="130" w:type="dxa"/>
            </w:tcMar>
            <w:vAlign w:val="center"/>
          </w:tcPr>
          <w:p>
            <w:pPr>
              <w:spacing w:after="0" w:line="252" w:lineRule="auto"/>
            </w:pPr>
            <w:r>
              <w:rPr>
                <w:rFonts w:ascii="Aptos" w:hAnsi="Aptos"/>
                <w:b w:val="0"/>
                <w:i w:val="0"/>
                <w:color w:val="483E36"/>
                <w:sz w:val="17"/>
              </w:rPr>
              <w:t>AI response context</w:t>
            </w:r>
          </w:p>
        </w:tc>
        <w:tc>
          <w:tcPr>
            <w:tcW w:type="dxa" w:w="3312"/>
            <w:tcMar>
              <w:top w:w="110" w:type="dxa"/>
              <w:start w:w="130" w:type="dxa"/>
              <w:bottom w:w="110" w:type="dxa"/>
              <w:end w:w="130" w:type="dxa"/>
            </w:tcMar>
            <w:vAlign w:val="center"/>
          </w:tcPr>
          <w:p>
            <w:pPr>
              <w:spacing w:after="0" w:line="252" w:lineRule="auto"/>
            </w:pPr>
            <w:r>
              <w:rPr>
                <w:rFonts w:ascii="Aptos" w:hAnsi="Aptos"/>
                <w:b w:val="0"/>
                <w:i w:val="0"/>
                <w:color w:val="483E36"/>
                <w:sz w:val="17"/>
              </w:rPr>
              <w:t>Ascend branding</w:t>
            </w:r>
          </w:p>
        </w:tc>
        <w:tc>
          <w:tcPr>
            <w:tcW w:type="dxa" w:w="3744"/>
            <w:tcMar>
              <w:top w:w="110" w:type="dxa"/>
              <w:start w:w="130" w:type="dxa"/>
              <w:bottom w:w="110" w:type="dxa"/>
              <w:end w:w="130" w:type="dxa"/>
            </w:tcMar>
            <w:vAlign w:val="center"/>
          </w:tcPr>
          <w:p>
            <w:pPr>
              <w:spacing w:after="0" w:line="252" w:lineRule="auto"/>
            </w:pPr>
            <w:r>
              <w:rPr>
                <w:rFonts w:ascii="Aptos" w:hAnsi="Aptos"/>
                <w:b w:val="0"/>
                <w:i w:val="0"/>
                <w:color w:val="483E36"/>
                <w:sz w:val="17"/>
              </w:rPr>
              <w:t>Visible generated language may change</w:t>
            </w:r>
          </w:p>
        </w:tc>
      </w:tr>
      <w:tr>
        <w:tc>
          <w:tcPr>
            <w:tcW w:type="dxa" w:w="273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Transactional emails</w:t>
            </w:r>
          </w:p>
        </w:tc>
        <w:tc>
          <w:tcPr>
            <w:tcW w:type="dxa" w:w="331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Ascend branding</w:t>
            </w:r>
          </w:p>
        </w:tc>
        <w:tc>
          <w:tcPr>
            <w:tcW w:type="dxa" w:w="3744"/>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No mobile payload change</w:t>
            </w:r>
          </w:p>
        </w:tc>
      </w:tr>
      <w:tr>
        <w:tc>
          <w:tcPr>
            <w:tcW w:type="dxa" w:w="2736"/>
            <w:tcMar>
              <w:top w:w="110" w:type="dxa"/>
              <w:start w:w="130" w:type="dxa"/>
              <w:bottom w:w="110" w:type="dxa"/>
              <w:end w:w="130" w:type="dxa"/>
            </w:tcMar>
            <w:vAlign w:val="center"/>
          </w:tcPr>
          <w:p>
            <w:pPr>
              <w:spacing w:after="0" w:line="252" w:lineRule="auto"/>
            </w:pPr>
            <w:r>
              <w:rPr>
                <w:rFonts w:ascii="Aptos" w:hAnsi="Aptos"/>
                <w:b w:val="0"/>
                <w:i w:val="0"/>
                <w:color w:val="483E36"/>
                <w:sz w:val="17"/>
              </w:rPr>
              <w:t>PR share images</w:t>
            </w:r>
          </w:p>
        </w:tc>
        <w:tc>
          <w:tcPr>
            <w:tcW w:type="dxa" w:w="3312"/>
            <w:tcMar>
              <w:top w:w="110" w:type="dxa"/>
              <w:start w:w="130" w:type="dxa"/>
              <w:bottom w:w="110" w:type="dxa"/>
              <w:end w:w="130" w:type="dxa"/>
            </w:tcMar>
            <w:vAlign w:val="center"/>
          </w:tcPr>
          <w:p>
            <w:pPr>
              <w:spacing w:after="0" w:line="252" w:lineRule="auto"/>
            </w:pPr>
            <w:r>
              <w:rPr>
                <w:rFonts w:ascii="Aptos" w:hAnsi="Aptos"/>
                <w:b w:val="0"/>
                <w:i w:val="0"/>
                <w:color w:val="483E36"/>
                <w:sz w:val="17"/>
              </w:rPr>
              <w:t>Ascend lettering</w:t>
            </w:r>
          </w:p>
        </w:tc>
        <w:tc>
          <w:tcPr>
            <w:tcW w:type="dxa" w:w="3744"/>
            <w:tcMar>
              <w:top w:w="110" w:type="dxa"/>
              <w:start w:w="130" w:type="dxa"/>
              <w:bottom w:w="110" w:type="dxa"/>
              <w:end w:w="130" w:type="dxa"/>
            </w:tcMar>
            <w:vAlign w:val="center"/>
          </w:tcPr>
          <w:p>
            <w:pPr>
              <w:spacing w:after="0" w:line="252" w:lineRule="auto"/>
            </w:pPr>
            <w:r>
              <w:rPr>
                <w:rFonts w:ascii="Aptos" w:hAnsi="Aptos"/>
                <w:b w:val="0"/>
                <w:i w:val="0"/>
                <w:color w:val="483E36"/>
                <w:sz w:val="17"/>
              </w:rPr>
              <w:t>Refresh image previews or snapshots</w:t>
            </w:r>
          </w:p>
        </w:tc>
      </w:tr>
    </w:tbl>
    <w:p>
      <w:pPr>
        <w:spacing w:after="20"/>
      </w:pPr>
    </w:p>
    <w:p>
      <w:pPr>
        <w:pStyle w:val="Heading1"/>
        <w:keepNext/>
      </w:pPr>
      <w:r>
        <w:t>2 OpenAPI contract verification</w:t>
      </w:r>
    </w:p>
    <w:p>
      <w:pPr>
        <w:spacing w:after="140" w:line="269" w:lineRule="auto"/>
      </w:pPr>
      <w:r>
        <w:rPr>
          <w:rFonts w:ascii="Aptos" w:hAnsi="Aptos"/>
          <w:b w:val="0"/>
          <w:i w:val="0"/>
          <w:color w:val="483E36"/>
          <w:sz w:val="20"/>
        </w:rPr>
        <w:t>The checked-in OpenAPI document changed only its information title. The version remains v1.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2376"/>
            <w:shd w:fill="211B17"/>
            <w:tcMar>
              <w:top w:w="110" w:type="dxa"/>
              <w:start w:w="130" w:type="dxa"/>
              <w:bottom w:w="110" w:type="dxa"/>
              <w:end w:w="130" w:type="dxa"/>
            </w:tcMar>
            <w:vAlign w:val="center"/>
          </w:tcPr>
          <w:p>
            <w:pPr>
              <w:spacing w:after="0"/>
              <w:jc w:val="left"/>
            </w:pPr>
            <w:r>
              <w:rPr>
                <w:rFonts w:ascii="Aptos" w:hAnsi="Aptos"/>
                <w:b/>
                <w:i w:val="0"/>
                <w:color w:val="FFFFFF"/>
                <w:sz w:val="17"/>
              </w:rPr>
              <w:t>OpenAPI element</w:t>
            </w:r>
          </w:p>
        </w:tc>
        <w:tc>
          <w:tcPr>
            <w:tcW w:type="dxa" w:w="2448"/>
            <w:shd w:fill="211B17"/>
            <w:tcMar>
              <w:top w:w="110" w:type="dxa"/>
              <w:start w:w="130" w:type="dxa"/>
              <w:bottom w:w="110" w:type="dxa"/>
              <w:end w:w="130" w:type="dxa"/>
            </w:tcMar>
            <w:vAlign w:val="center"/>
          </w:tcPr>
          <w:p>
            <w:pPr>
              <w:spacing w:after="0"/>
              <w:jc w:val="left"/>
            </w:pPr>
            <w:r>
              <w:rPr>
                <w:rFonts w:ascii="Aptos" w:hAnsi="Aptos"/>
                <w:b/>
                <w:i w:val="0"/>
                <w:color w:val="FFFFFF"/>
                <w:sz w:val="17"/>
              </w:rPr>
              <w:t>Before</w:t>
            </w:r>
          </w:p>
        </w:tc>
        <w:tc>
          <w:tcPr>
            <w:tcW w:type="dxa" w:w="2448"/>
            <w:shd w:fill="211B17"/>
            <w:tcMar>
              <w:top w:w="110" w:type="dxa"/>
              <w:start w:w="130" w:type="dxa"/>
              <w:bottom w:w="110" w:type="dxa"/>
              <w:end w:w="130" w:type="dxa"/>
            </w:tcMar>
            <w:vAlign w:val="center"/>
          </w:tcPr>
          <w:p>
            <w:pPr>
              <w:spacing w:after="0"/>
              <w:jc w:val="left"/>
            </w:pPr>
            <w:r>
              <w:rPr>
                <w:rFonts w:ascii="Aptos" w:hAnsi="Aptos"/>
                <w:b/>
                <w:i w:val="0"/>
                <w:color w:val="FFFFFF"/>
                <w:sz w:val="17"/>
              </w:rPr>
              <w:t>After</w:t>
            </w:r>
          </w:p>
        </w:tc>
        <w:tc>
          <w:tcPr>
            <w:tcW w:type="dxa" w:w="2520"/>
            <w:shd w:fill="211B17"/>
            <w:tcMar>
              <w:top w:w="110" w:type="dxa"/>
              <w:start w:w="130" w:type="dxa"/>
              <w:bottom w:w="110" w:type="dxa"/>
              <w:end w:w="130" w:type="dxa"/>
            </w:tcMar>
            <w:vAlign w:val="center"/>
          </w:tcPr>
          <w:p>
            <w:pPr>
              <w:spacing w:after="0"/>
              <w:jc w:val="left"/>
            </w:pPr>
            <w:r>
              <w:rPr>
                <w:rFonts w:ascii="Aptos" w:hAnsi="Aptos"/>
                <w:b/>
                <w:i w:val="0"/>
                <w:color w:val="FFFFFF"/>
                <w:sz w:val="17"/>
              </w:rPr>
              <w:t>Assessment</w:t>
            </w:r>
          </w:p>
        </w:tc>
      </w:tr>
      <w:tr>
        <w:tc>
          <w:tcPr>
            <w:tcW w:type="dxa" w:w="2376"/>
            <w:tcMar>
              <w:top w:w="110" w:type="dxa"/>
              <w:start w:w="130" w:type="dxa"/>
              <w:bottom w:w="110" w:type="dxa"/>
              <w:end w:w="130" w:type="dxa"/>
            </w:tcMar>
            <w:vAlign w:val="center"/>
          </w:tcPr>
          <w:p>
            <w:pPr>
              <w:spacing w:after="0" w:line="252" w:lineRule="auto"/>
            </w:pPr>
            <w:r>
              <w:rPr>
                <w:rFonts w:ascii="Aptos" w:hAnsi="Aptos"/>
                <w:b w:val="0"/>
                <w:i w:val="0"/>
                <w:color w:val="483E36"/>
                <w:sz w:val="17"/>
              </w:rPr>
              <w:t>info.title</w:t>
            </w:r>
          </w:p>
        </w:tc>
        <w:tc>
          <w:tcPr>
            <w:tcW w:type="dxa" w:w="2448"/>
            <w:tcMar>
              <w:top w:w="110" w:type="dxa"/>
              <w:start w:w="130" w:type="dxa"/>
              <w:bottom w:w="110" w:type="dxa"/>
              <w:end w:w="130" w:type="dxa"/>
            </w:tcMar>
            <w:vAlign w:val="center"/>
          </w:tcPr>
          <w:p>
            <w:pPr>
              <w:spacing w:after="0" w:line="252" w:lineRule="auto"/>
            </w:pPr>
            <w:r>
              <w:rPr>
                <w:rFonts w:ascii="Aptos" w:hAnsi="Aptos"/>
                <w:b w:val="0"/>
                <w:i w:val="0"/>
                <w:color w:val="483E36"/>
                <w:sz w:val="17"/>
              </w:rPr>
              <w:t>Xenoh API</w:t>
            </w:r>
          </w:p>
        </w:tc>
        <w:tc>
          <w:tcPr>
            <w:tcW w:type="dxa" w:w="2448"/>
            <w:tcMar>
              <w:top w:w="110" w:type="dxa"/>
              <w:start w:w="130" w:type="dxa"/>
              <w:bottom w:w="110" w:type="dxa"/>
              <w:end w:w="130" w:type="dxa"/>
            </w:tcMar>
            <w:vAlign w:val="center"/>
          </w:tcPr>
          <w:p>
            <w:pPr>
              <w:spacing w:after="0" w:line="252" w:lineRule="auto"/>
            </w:pPr>
            <w:r>
              <w:rPr>
                <w:rFonts w:ascii="Aptos" w:hAnsi="Aptos"/>
                <w:b w:val="0"/>
                <w:i w:val="0"/>
                <w:color w:val="483E36"/>
                <w:sz w:val="17"/>
              </w:rPr>
              <w:t>Ascend API</w:t>
            </w:r>
          </w:p>
        </w:tc>
        <w:tc>
          <w:tcPr>
            <w:tcW w:type="dxa" w:w="2520"/>
            <w:tcMar>
              <w:top w:w="110" w:type="dxa"/>
              <w:start w:w="130" w:type="dxa"/>
              <w:bottom w:w="110" w:type="dxa"/>
              <w:end w:w="130" w:type="dxa"/>
            </w:tcMar>
            <w:vAlign w:val="center"/>
          </w:tcPr>
          <w:p>
            <w:pPr>
              <w:spacing w:after="0" w:line="252" w:lineRule="auto"/>
            </w:pPr>
            <w:r>
              <w:rPr>
                <w:rFonts w:ascii="Aptos" w:hAnsi="Aptos"/>
                <w:b w:val="0"/>
                <w:i w:val="0"/>
                <w:color w:val="483E36"/>
                <w:sz w:val="17"/>
              </w:rPr>
              <w:t>Changed</w:t>
            </w:r>
          </w:p>
        </w:tc>
      </w:tr>
      <w:tr>
        <w:tc>
          <w:tcPr>
            <w:tcW w:type="dxa" w:w="23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info.version</w:t>
            </w:r>
          </w:p>
        </w:tc>
        <w:tc>
          <w:tcPr>
            <w:tcW w:type="dxa" w:w="24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v1</w:t>
            </w:r>
          </w:p>
        </w:tc>
        <w:tc>
          <w:tcPr>
            <w:tcW w:type="dxa" w:w="24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v1</w:t>
            </w:r>
          </w:p>
        </w:tc>
        <w:tc>
          <w:tcPr>
            <w:tcW w:type="dxa" w:w="252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r>
      <w:tr>
        <w:tc>
          <w:tcPr>
            <w:tcW w:type="dxa" w:w="2376"/>
            <w:tcMar>
              <w:top w:w="110" w:type="dxa"/>
              <w:start w:w="130" w:type="dxa"/>
              <w:bottom w:w="110" w:type="dxa"/>
              <w:end w:w="130" w:type="dxa"/>
            </w:tcMar>
            <w:vAlign w:val="center"/>
          </w:tcPr>
          <w:p>
            <w:pPr>
              <w:spacing w:after="0" w:line="252" w:lineRule="auto"/>
            </w:pPr>
            <w:r>
              <w:rPr>
                <w:rFonts w:ascii="Aptos" w:hAnsi="Aptos"/>
                <w:b w:val="0"/>
                <w:i w:val="0"/>
                <w:color w:val="483E36"/>
                <w:sz w:val="17"/>
              </w:rPr>
              <w:t>Path count</w:t>
            </w:r>
          </w:p>
        </w:tc>
        <w:tc>
          <w:tcPr>
            <w:tcW w:type="dxa" w:w="2448"/>
            <w:tcMar>
              <w:top w:w="110" w:type="dxa"/>
              <w:start w:w="130" w:type="dxa"/>
              <w:bottom w:w="110" w:type="dxa"/>
              <w:end w:w="130" w:type="dxa"/>
            </w:tcMar>
            <w:vAlign w:val="center"/>
          </w:tcPr>
          <w:p>
            <w:pPr>
              <w:spacing w:after="0" w:line="252" w:lineRule="auto"/>
            </w:pPr>
            <w:r>
              <w:rPr>
                <w:rFonts w:ascii="Aptos" w:hAnsi="Aptos"/>
                <w:b w:val="0"/>
                <w:i w:val="0"/>
                <w:color w:val="483E36"/>
                <w:sz w:val="17"/>
              </w:rPr>
              <w:t>19</w:t>
            </w:r>
          </w:p>
        </w:tc>
        <w:tc>
          <w:tcPr>
            <w:tcW w:type="dxa" w:w="2448"/>
            <w:tcMar>
              <w:top w:w="110" w:type="dxa"/>
              <w:start w:w="130" w:type="dxa"/>
              <w:bottom w:w="110" w:type="dxa"/>
              <w:end w:w="130" w:type="dxa"/>
            </w:tcMar>
            <w:vAlign w:val="center"/>
          </w:tcPr>
          <w:p>
            <w:pPr>
              <w:spacing w:after="0" w:line="252" w:lineRule="auto"/>
            </w:pPr>
            <w:r>
              <w:rPr>
                <w:rFonts w:ascii="Aptos" w:hAnsi="Aptos"/>
                <w:b w:val="0"/>
                <w:i w:val="0"/>
                <w:color w:val="483E36"/>
                <w:sz w:val="17"/>
              </w:rPr>
              <w:t>19</w:t>
            </w:r>
          </w:p>
        </w:tc>
        <w:tc>
          <w:tcPr>
            <w:tcW w:type="dxa" w:w="2520"/>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r>
      <w:tr>
        <w:tc>
          <w:tcPr>
            <w:tcW w:type="dxa" w:w="23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Path names</w:t>
            </w:r>
          </w:p>
        </w:tc>
        <w:tc>
          <w:tcPr>
            <w:tcW w:type="dxa" w:w="24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Existing set</w:t>
            </w:r>
          </w:p>
        </w:tc>
        <w:tc>
          <w:tcPr>
            <w:tcW w:type="dxa" w:w="24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Same set</w:t>
            </w:r>
          </w:p>
        </w:tc>
        <w:tc>
          <w:tcPr>
            <w:tcW w:type="dxa" w:w="252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r>
      <w:tr>
        <w:tc>
          <w:tcPr>
            <w:tcW w:type="dxa" w:w="2376"/>
            <w:tcMar>
              <w:top w:w="110" w:type="dxa"/>
              <w:start w:w="130" w:type="dxa"/>
              <w:bottom w:w="110" w:type="dxa"/>
              <w:end w:w="130" w:type="dxa"/>
            </w:tcMar>
            <w:vAlign w:val="center"/>
          </w:tcPr>
          <w:p>
            <w:pPr>
              <w:spacing w:after="0" w:line="252" w:lineRule="auto"/>
            </w:pPr>
            <w:r>
              <w:rPr>
                <w:rFonts w:ascii="Aptos" w:hAnsi="Aptos"/>
                <w:b w:val="0"/>
                <w:i w:val="0"/>
                <w:color w:val="483E36"/>
                <w:sz w:val="17"/>
              </w:rPr>
              <w:t>HTTP methods</w:t>
            </w:r>
          </w:p>
        </w:tc>
        <w:tc>
          <w:tcPr>
            <w:tcW w:type="dxa" w:w="2448"/>
            <w:tcMar>
              <w:top w:w="110" w:type="dxa"/>
              <w:start w:w="130" w:type="dxa"/>
              <w:bottom w:w="110" w:type="dxa"/>
              <w:end w:w="130" w:type="dxa"/>
            </w:tcMar>
            <w:vAlign w:val="center"/>
          </w:tcPr>
          <w:p>
            <w:pPr>
              <w:spacing w:after="0" w:line="252" w:lineRule="auto"/>
            </w:pPr>
            <w:r>
              <w:rPr>
                <w:rFonts w:ascii="Aptos" w:hAnsi="Aptos"/>
                <w:b w:val="0"/>
                <w:i w:val="0"/>
                <w:color w:val="483E36"/>
                <w:sz w:val="17"/>
              </w:rPr>
              <w:t>Existing set</w:t>
            </w:r>
          </w:p>
        </w:tc>
        <w:tc>
          <w:tcPr>
            <w:tcW w:type="dxa" w:w="2448"/>
            <w:tcMar>
              <w:top w:w="110" w:type="dxa"/>
              <w:start w:w="130" w:type="dxa"/>
              <w:bottom w:w="110" w:type="dxa"/>
              <w:end w:w="130" w:type="dxa"/>
            </w:tcMar>
            <w:vAlign w:val="center"/>
          </w:tcPr>
          <w:p>
            <w:pPr>
              <w:spacing w:after="0" w:line="252" w:lineRule="auto"/>
            </w:pPr>
            <w:r>
              <w:rPr>
                <w:rFonts w:ascii="Aptos" w:hAnsi="Aptos"/>
                <w:b w:val="0"/>
                <w:i w:val="0"/>
                <w:color w:val="483E36"/>
                <w:sz w:val="17"/>
              </w:rPr>
              <w:t>Same set</w:t>
            </w:r>
          </w:p>
        </w:tc>
        <w:tc>
          <w:tcPr>
            <w:tcW w:type="dxa" w:w="2520"/>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r>
      <w:tr>
        <w:tc>
          <w:tcPr>
            <w:tcW w:type="dxa" w:w="23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Schemas</w:t>
            </w:r>
          </w:p>
        </w:tc>
        <w:tc>
          <w:tcPr>
            <w:tcW w:type="dxa" w:w="24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Existing definitions</w:t>
            </w:r>
          </w:p>
        </w:tc>
        <w:tc>
          <w:tcPr>
            <w:tcW w:type="dxa" w:w="24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Same definitions</w:t>
            </w:r>
          </w:p>
        </w:tc>
        <w:tc>
          <w:tcPr>
            <w:tcW w:type="dxa" w:w="252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r>
      <w:tr>
        <w:tc>
          <w:tcPr>
            <w:tcW w:type="dxa" w:w="2376"/>
            <w:tcMar>
              <w:top w:w="110" w:type="dxa"/>
              <w:start w:w="130" w:type="dxa"/>
              <w:bottom w:w="110" w:type="dxa"/>
              <w:end w:w="130" w:type="dxa"/>
            </w:tcMar>
            <w:vAlign w:val="center"/>
          </w:tcPr>
          <w:p>
            <w:pPr>
              <w:spacing w:after="0" w:line="252" w:lineRule="auto"/>
            </w:pPr>
            <w:r>
              <w:rPr>
                <w:rFonts w:ascii="Aptos" w:hAnsi="Aptos"/>
                <w:b w:val="0"/>
                <w:i w:val="0"/>
                <w:color w:val="483E36"/>
                <w:sz w:val="17"/>
              </w:rPr>
              <w:t>Servers</w:t>
            </w:r>
          </w:p>
        </w:tc>
        <w:tc>
          <w:tcPr>
            <w:tcW w:type="dxa" w:w="2448"/>
            <w:tcMar>
              <w:top w:w="110" w:type="dxa"/>
              <w:start w:w="130" w:type="dxa"/>
              <w:bottom w:w="110" w:type="dxa"/>
              <w:end w:w="130" w:type="dxa"/>
            </w:tcMar>
            <w:vAlign w:val="center"/>
          </w:tcPr>
          <w:p>
            <w:pPr>
              <w:spacing w:after="0" w:line="252" w:lineRule="auto"/>
            </w:pPr>
            <w:r>
              <w:rPr>
                <w:rFonts w:ascii="Aptos" w:hAnsi="Aptos"/>
                <w:b w:val="0"/>
                <w:i w:val="0"/>
                <w:color w:val="483E36"/>
                <w:sz w:val="17"/>
              </w:rPr>
              <w:t>Existing definitions</w:t>
            </w:r>
          </w:p>
        </w:tc>
        <w:tc>
          <w:tcPr>
            <w:tcW w:type="dxa" w:w="2448"/>
            <w:tcMar>
              <w:top w:w="110" w:type="dxa"/>
              <w:start w:w="130" w:type="dxa"/>
              <w:bottom w:w="110" w:type="dxa"/>
              <w:end w:w="130" w:type="dxa"/>
            </w:tcMar>
            <w:vAlign w:val="center"/>
          </w:tcPr>
          <w:p>
            <w:pPr>
              <w:spacing w:after="0" w:line="252" w:lineRule="auto"/>
            </w:pPr>
            <w:r>
              <w:rPr>
                <w:rFonts w:ascii="Aptos" w:hAnsi="Aptos"/>
                <w:b w:val="0"/>
                <w:i w:val="0"/>
                <w:color w:val="483E36"/>
                <w:sz w:val="17"/>
              </w:rPr>
              <w:t>Same definitions</w:t>
            </w:r>
          </w:p>
        </w:tc>
        <w:tc>
          <w:tcPr>
            <w:tcW w:type="dxa" w:w="2520"/>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r>
      <w:tr>
        <w:tc>
          <w:tcPr>
            <w:tcW w:type="dxa" w:w="23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Security</w:t>
            </w:r>
          </w:p>
        </w:tc>
        <w:tc>
          <w:tcPr>
            <w:tcW w:type="dxa" w:w="24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Existing definitions</w:t>
            </w:r>
          </w:p>
        </w:tc>
        <w:tc>
          <w:tcPr>
            <w:tcW w:type="dxa" w:w="24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Same definitions</w:t>
            </w:r>
          </w:p>
        </w:tc>
        <w:tc>
          <w:tcPr>
            <w:tcW w:type="dxa" w:w="252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Unchanged</w:t>
            </w:r>
          </w:p>
        </w:tc>
      </w:tr>
    </w:tbl>
    <w:p>
      <w:pPr>
        <w:spacing w:after="20"/>
      </w:pPr>
    </w:p>
    <w:p>
      <w:pPr>
        <w:spacing w:after="140" w:line="269" w:lineRule="auto"/>
      </w:pPr>
      <w:r>
        <w:rPr>
          <w:rFonts w:ascii="Aptos" w:hAnsi="Aptos"/>
          <w:b w:val="0"/>
          <w:i w:val="0"/>
          <w:color w:val="483E36"/>
          <w:sz w:val="20"/>
        </w:rPr>
        <w:t>Mobile action: keep the current API base URL, generated client models, serialization rules, and authentication interceptors. Regenerating a client from this OpenAPI file is optional because the only difference is the displayed API title.</w:t>
      </w:r>
    </w:p>
    <w:p>
      <w:r>
        <w:br w:type="page"/>
      </w:r>
    </w:p>
    <w:p>
      <w:pPr>
        <w:pStyle w:val="Heading1"/>
        <w:keepNext/>
      </w:pPr>
      <w:r>
        <w:t>3 Observable API behavior changes</w:t>
      </w:r>
    </w:p>
    <w:p>
      <w:pPr>
        <w:spacing w:after="140" w:line="269" w:lineRule="auto"/>
      </w:pPr>
      <w:r>
        <w:rPr>
          <w:rFonts w:ascii="Aptos" w:hAnsi="Aptos"/>
          <w:b w:val="0"/>
          <w:i w:val="0"/>
          <w:color w:val="483E36"/>
          <w:sz w:val="20"/>
        </w:rPr>
        <w:t>The following endpoints can expose new Ascend wording or visuals. Status codes and payload shapes remain unchanged.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4176"/>
            <w:shd w:fill="211B17"/>
            <w:tcMar>
              <w:top w:w="110" w:type="dxa"/>
              <w:start w:w="130" w:type="dxa"/>
              <w:bottom w:w="110" w:type="dxa"/>
              <w:end w:w="130" w:type="dxa"/>
            </w:tcMar>
            <w:vAlign w:val="center"/>
          </w:tcPr>
          <w:p>
            <w:pPr>
              <w:spacing w:after="0"/>
              <w:jc w:val="left"/>
            </w:pPr>
            <w:r>
              <w:rPr>
                <w:rFonts w:ascii="Aptos" w:hAnsi="Aptos"/>
                <w:b/>
                <w:i w:val="0"/>
                <w:color w:val="FFFFFF"/>
                <w:sz w:val="15"/>
              </w:rPr>
              <w:t>Endpoint or flow</w:t>
            </w:r>
          </w:p>
        </w:tc>
        <w:tc>
          <w:tcPr>
            <w:tcW w:type="dxa" w:w="3240"/>
            <w:shd w:fill="211B17"/>
            <w:tcMar>
              <w:top w:w="110" w:type="dxa"/>
              <w:start w:w="130" w:type="dxa"/>
              <w:bottom w:w="110" w:type="dxa"/>
              <w:end w:w="130" w:type="dxa"/>
            </w:tcMar>
            <w:vAlign w:val="center"/>
          </w:tcPr>
          <w:p>
            <w:pPr>
              <w:spacing w:after="0"/>
              <w:jc w:val="left"/>
            </w:pPr>
            <w:r>
              <w:rPr>
                <w:rFonts w:ascii="Aptos" w:hAnsi="Aptos"/>
                <w:b/>
                <w:i w:val="0"/>
                <w:color w:val="FFFFFF"/>
                <w:sz w:val="15"/>
              </w:rPr>
              <w:t>Changed behavior</w:t>
            </w:r>
          </w:p>
        </w:tc>
        <w:tc>
          <w:tcPr>
            <w:tcW w:type="dxa" w:w="2376"/>
            <w:shd w:fill="211B17"/>
            <w:tcMar>
              <w:top w:w="110" w:type="dxa"/>
              <w:start w:w="130" w:type="dxa"/>
              <w:bottom w:w="110" w:type="dxa"/>
              <w:end w:w="130" w:type="dxa"/>
            </w:tcMar>
            <w:vAlign w:val="center"/>
          </w:tcPr>
          <w:p>
            <w:pPr>
              <w:spacing w:after="0"/>
              <w:jc w:val="left"/>
            </w:pPr>
            <w:r>
              <w:rPr>
                <w:rFonts w:ascii="Aptos" w:hAnsi="Aptos"/>
                <w:b/>
                <w:i w:val="0"/>
                <w:color w:val="FFFFFF"/>
                <w:sz w:val="15"/>
              </w:rPr>
              <w:t>Mobile handling</w:t>
            </w:r>
          </w:p>
        </w:tc>
      </w:tr>
      <w:tr>
        <w:tc>
          <w:tcPr>
            <w:tcW w:type="dxa" w:w="4176"/>
            <w:tcMar>
              <w:top w:w="110" w:type="dxa"/>
              <w:start w:w="130" w:type="dxa"/>
              <w:bottom w:w="110" w:type="dxa"/>
              <w:end w:w="130" w:type="dxa"/>
            </w:tcMar>
            <w:vAlign w:val="center"/>
          </w:tcPr>
          <w:p>
            <w:pPr>
              <w:spacing w:after="0" w:line="252" w:lineRule="auto"/>
            </w:pPr>
            <w:r>
              <w:rPr>
                <w:rFonts w:ascii="Aptos" w:hAnsi="Aptos"/>
                <w:b w:val="0"/>
                <w:i w:val="0"/>
                <w:color w:val="483E36"/>
                <w:sz w:val="15"/>
              </w:rPr>
              <w:t>POST /api/auth/external/complete-registration</w:t>
            </w:r>
          </w:p>
        </w:tc>
        <w:tc>
          <w:tcPr>
            <w:tcW w:type="dxa" w:w="3240"/>
            <w:tcMar>
              <w:top w:w="110" w:type="dxa"/>
              <w:start w:w="130" w:type="dxa"/>
              <w:bottom w:w="110" w:type="dxa"/>
              <w:end w:w="130" w:type="dxa"/>
            </w:tcMar>
            <w:vAlign w:val="center"/>
          </w:tcPr>
          <w:p>
            <w:pPr>
              <w:spacing w:after="0" w:line="252" w:lineRule="auto"/>
            </w:pPr>
            <w:r>
              <w:rPr>
                <w:rFonts w:ascii="Aptos" w:hAnsi="Aptos"/>
                <w:b w:val="0"/>
                <w:i w:val="0"/>
                <w:color w:val="483E36"/>
                <w:sz w:val="15"/>
              </w:rPr>
              <w:t>When the provider supplies no first name, a newly created user now receives the fallback first name Ascend instead of Xenoh.</w:t>
            </w:r>
          </w:p>
        </w:tc>
        <w:tc>
          <w:tcPr>
            <w:tcW w:type="dxa" w:w="2376"/>
            <w:tcMar>
              <w:top w:w="110" w:type="dxa"/>
              <w:start w:w="130" w:type="dxa"/>
              <w:bottom w:w="110" w:type="dxa"/>
              <w:end w:w="130" w:type="dxa"/>
            </w:tcMar>
            <w:vAlign w:val="center"/>
          </w:tcPr>
          <w:p>
            <w:pPr>
              <w:spacing w:after="0" w:line="252" w:lineRule="auto"/>
            </w:pPr>
            <w:r>
              <w:rPr>
                <w:rFonts w:ascii="Aptos" w:hAnsi="Aptos"/>
                <w:b w:val="0"/>
                <w:i w:val="0"/>
                <w:color w:val="483E36"/>
                <w:sz w:val="15"/>
              </w:rPr>
              <w:t>No model change. Do not assume the fallback value is a person's real name.</w:t>
            </w:r>
          </w:p>
        </w:tc>
      </w:tr>
      <w:tr>
        <w:tc>
          <w:tcPr>
            <w:tcW w:type="dxa" w:w="41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5"/>
              </w:rPr>
              <w:t>GET /api/competition-management/events/{eventId}/staff/lookup</w:t>
            </w:r>
          </w:p>
        </w:tc>
        <w:tc>
          <w:tcPr>
            <w:tcW w:type="dxa" w:w="324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5"/>
              </w:rPr>
              <w:t>The not-found message now says that no Ascend account uses the email address.</w:t>
            </w:r>
          </w:p>
        </w:tc>
        <w:tc>
          <w:tcPr>
            <w:tcW w:type="dxa" w:w="23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5"/>
              </w:rPr>
              <w:t>Display the server message or use localized client copy. Update exact-message tests.</w:t>
            </w:r>
          </w:p>
        </w:tc>
      </w:tr>
      <w:tr>
        <w:tc>
          <w:tcPr>
            <w:tcW w:type="dxa" w:w="4176"/>
            <w:tcMar>
              <w:top w:w="110" w:type="dxa"/>
              <w:start w:w="130" w:type="dxa"/>
              <w:bottom w:w="110" w:type="dxa"/>
              <w:end w:w="130" w:type="dxa"/>
            </w:tcMar>
            <w:vAlign w:val="center"/>
          </w:tcPr>
          <w:p>
            <w:pPr>
              <w:spacing w:after="0" w:line="252" w:lineRule="auto"/>
            </w:pPr>
            <w:r>
              <w:rPr>
                <w:rFonts w:ascii="Aptos" w:hAnsi="Aptos"/>
                <w:b w:val="0"/>
                <w:i w:val="0"/>
                <w:color w:val="483E36"/>
                <w:sz w:val="15"/>
              </w:rPr>
              <w:t>POST /api/subscriptions/payment-orders</w:t>
            </w:r>
          </w:p>
        </w:tc>
        <w:tc>
          <w:tcPr>
            <w:tcW w:type="dxa" w:w="3240"/>
            <w:tcMar>
              <w:top w:w="110" w:type="dxa"/>
              <w:start w:w="130" w:type="dxa"/>
              <w:bottom w:w="110" w:type="dxa"/>
              <w:end w:w="130" w:type="dxa"/>
            </w:tcMar>
            <w:vAlign w:val="center"/>
          </w:tcPr>
          <w:p>
            <w:pPr>
              <w:spacing w:after="0" w:line="252" w:lineRule="auto"/>
            </w:pPr>
            <w:r>
              <w:rPr>
                <w:rFonts w:ascii="Aptos" w:hAnsi="Aptos"/>
                <w:b w:val="0"/>
                <w:i w:val="0"/>
                <w:color w:val="483E36"/>
                <w:sz w:val="15"/>
              </w:rPr>
              <w:t>An Organizer-tier rejection now directs the user to Ascend support.</w:t>
            </w:r>
          </w:p>
        </w:tc>
        <w:tc>
          <w:tcPr>
            <w:tcW w:type="dxa" w:w="2376"/>
            <w:tcMar>
              <w:top w:w="110" w:type="dxa"/>
              <w:start w:w="130" w:type="dxa"/>
              <w:bottom w:w="110" w:type="dxa"/>
              <w:end w:w="130" w:type="dxa"/>
            </w:tcMar>
            <w:vAlign w:val="center"/>
          </w:tcPr>
          <w:p>
            <w:pPr>
              <w:spacing w:after="0" w:line="252" w:lineRule="auto"/>
            </w:pPr>
            <w:r>
              <w:rPr>
                <w:rFonts w:ascii="Aptos" w:hAnsi="Aptos"/>
                <w:b w:val="0"/>
                <w:i w:val="0"/>
                <w:color w:val="483E36"/>
                <w:sz w:val="15"/>
              </w:rPr>
              <w:t>Keep existing error handling. Update exact-message tests and visible fallback copy.</w:t>
            </w:r>
          </w:p>
        </w:tc>
      </w:tr>
      <w:tr>
        <w:tc>
          <w:tcPr>
            <w:tcW w:type="dxa" w:w="41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5"/>
              </w:rPr>
              <w:t>GET /api/insights/me/coach-tip</w:t>
            </w:r>
          </w:p>
        </w:tc>
        <w:tc>
          <w:tcPr>
            <w:tcW w:type="dxa" w:w="324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5"/>
              </w:rPr>
              <w:t>The fallback insight now names Ascend Coach.</w:t>
            </w:r>
          </w:p>
        </w:tc>
        <w:tc>
          <w:tcPr>
            <w:tcW w:type="dxa" w:w="23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5"/>
              </w:rPr>
              <w:t>No response-shape change. Refresh content snapshots.</w:t>
            </w:r>
          </w:p>
        </w:tc>
      </w:tr>
      <w:tr>
        <w:tc>
          <w:tcPr>
            <w:tcW w:type="dxa" w:w="4176"/>
            <w:tcMar>
              <w:top w:w="110" w:type="dxa"/>
              <w:start w:w="130" w:type="dxa"/>
              <w:bottom w:w="110" w:type="dxa"/>
              <w:end w:w="130" w:type="dxa"/>
            </w:tcMar>
            <w:vAlign w:val="center"/>
          </w:tcPr>
          <w:p>
            <w:pPr>
              <w:spacing w:after="0" w:line="252" w:lineRule="auto"/>
            </w:pPr>
            <w:r>
              <w:rPr>
                <w:rFonts w:ascii="Aptos" w:hAnsi="Aptos"/>
                <w:b w:val="0"/>
                <w:i w:val="0"/>
                <w:color w:val="483E36"/>
                <w:sz w:val="15"/>
              </w:rPr>
              <w:t>POST /api/insights/me/coach-chat/conversations/{conversationId}/messages</w:t>
            </w:r>
          </w:p>
        </w:tc>
        <w:tc>
          <w:tcPr>
            <w:tcW w:type="dxa" w:w="3240"/>
            <w:tcMar>
              <w:top w:w="110" w:type="dxa"/>
              <w:start w:w="130" w:type="dxa"/>
              <w:bottom w:w="110" w:type="dxa"/>
              <w:end w:w="130" w:type="dxa"/>
            </w:tcMar>
            <w:vAlign w:val="center"/>
          </w:tcPr>
          <w:p>
            <w:pPr>
              <w:spacing w:after="0" w:line="252" w:lineRule="auto"/>
            </w:pPr>
            <w:r>
              <w:rPr>
                <w:rFonts w:ascii="Aptos" w:hAnsi="Aptos"/>
                <w:b w:val="0"/>
                <w:i w:val="0"/>
                <w:color w:val="483E36"/>
                <w:sz w:val="15"/>
              </w:rPr>
              <w:t>The off-topic response now refers to progress inside Ascend in English and Vietnamese.</w:t>
            </w:r>
          </w:p>
        </w:tc>
        <w:tc>
          <w:tcPr>
            <w:tcW w:type="dxa" w:w="2376"/>
            <w:tcMar>
              <w:top w:w="110" w:type="dxa"/>
              <w:start w:w="130" w:type="dxa"/>
              <w:bottom w:w="110" w:type="dxa"/>
              <w:end w:w="130" w:type="dxa"/>
            </w:tcMar>
            <w:vAlign w:val="center"/>
          </w:tcPr>
          <w:p>
            <w:pPr>
              <w:spacing w:after="0" w:line="252" w:lineRule="auto"/>
            </w:pPr>
            <w:r>
              <w:rPr>
                <w:rFonts w:ascii="Aptos" w:hAnsi="Aptos"/>
                <w:b w:val="0"/>
                <w:i w:val="0"/>
                <w:color w:val="483E36"/>
                <w:sz w:val="15"/>
              </w:rPr>
              <w:t>Treat generated and policy responses as content, not stable identifiers.</w:t>
            </w:r>
          </w:p>
        </w:tc>
      </w:tr>
      <w:tr>
        <w:tc>
          <w:tcPr>
            <w:tcW w:type="dxa" w:w="41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5"/>
              </w:rPr>
              <w:t>GET /api/share/pr/{userId}/{exerciseTemplateId}/image.png</w:t>
            </w:r>
          </w:p>
        </w:tc>
        <w:tc>
          <w:tcPr>
            <w:tcW w:type="dxa" w:w="324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5"/>
              </w:rPr>
              <w:t>The generated PNG now draws A S C E N D in the header and footer instead of the legacy name.</w:t>
            </w:r>
          </w:p>
        </w:tc>
        <w:tc>
          <w:tcPr>
            <w:tcW w:type="dxa" w:w="237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5"/>
              </w:rPr>
              <w:t>No URL or MIME-type change. Invalidate cached previews if needed.</w:t>
            </w:r>
          </w:p>
        </w:tc>
      </w:tr>
    </w:tbl>
    <w:p>
      <w:pPr>
        <w:spacing w:after="20"/>
      </w:pPr>
    </w:p>
    <w:p>
      <w:pPr>
        <w:pStyle w:val="Heading2"/>
        <w:keepNext/>
      </w:pPr>
      <w:r>
        <w:t>External registration note</w:t>
      </w:r>
    </w:p>
    <w:p>
      <w:pPr>
        <w:spacing w:after="140" w:line="269" w:lineRule="auto"/>
      </w:pPr>
      <w:r>
        <w:rPr>
          <w:rFonts w:ascii="Aptos" w:hAnsi="Aptos"/>
          <w:b w:val="0"/>
          <w:i w:val="0"/>
          <w:color w:val="483E36"/>
          <w:sz w:val="20"/>
        </w:rPr>
        <w:t>The fallback-name change affects only new external-login users whose provider data has an empty first name. Existing profiles are not renamed. The API continues to return the existing authentication response contract.</w:t>
      </w:r>
    </w:p>
    <w:p>
      <w:r>
        <w:br w:type="page"/>
      </w:r>
    </w:p>
    <w:p>
      <w:pPr>
        <w:pStyle w:val="Heading1"/>
        <w:keepNext/>
      </w:pPr>
      <w:r>
        <w:t>4 AI powered endpoint changes</w:t>
      </w:r>
    </w:p>
    <w:p>
      <w:pPr>
        <w:spacing w:after="140" w:line="269" w:lineRule="auto"/>
      </w:pPr>
      <w:r>
        <w:rPr>
          <w:rFonts w:ascii="Aptos" w:hAnsi="Aptos"/>
          <w:b w:val="0"/>
          <w:i w:val="0"/>
          <w:color w:val="483E36"/>
          <w:sz w:val="20"/>
        </w:rPr>
        <w:t>Ascend's shared coaching prompt now identifies the product and coach as Ascend and Ascend Coach. The data contracts remain the same, but generated wording can reflect the new brand. Cached AI content created before deployment may still contain Xenoh until it expires or is regenerated.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536"/>
            <w:shd w:fill="211B17"/>
            <w:tcMar>
              <w:top w:w="110" w:type="dxa"/>
              <w:start w:w="130" w:type="dxa"/>
              <w:bottom w:w="110" w:type="dxa"/>
              <w:end w:w="130" w:type="dxa"/>
            </w:tcMar>
            <w:vAlign w:val="center"/>
          </w:tcPr>
          <w:p>
            <w:pPr>
              <w:spacing w:after="0"/>
              <w:jc w:val="left"/>
            </w:pPr>
            <w:r>
              <w:rPr>
                <w:rFonts w:ascii="Aptos" w:hAnsi="Aptos"/>
                <w:b/>
                <w:i w:val="0"/>
                <w:color w:val="FFFFFF"/>
                <w:sz w:val="16"/>
              </w:rPr>
              <w:t>Endpoint</w:t>
            </w:r>
          </w:p>
        </w:tc>
        <w:tc>
          <w:tcPr>
            <w:tcW w:type="dxa" w:w="5256"/>
            <w:shd w:fill="211B17"/>
            <w:tcMar>
              <w:top w:w="110" w:type="dxa"/>
              <w:start w:w="130" w:type="dxa"/>
              <w:bottom w:w="110" w:type="dxa"/>
              <w:end w:w="130" w:type="dxa"/>
            </w:tcMar>
            <w:vAlign w:val="center"/>
          </w:tcPr>
          <w:p>
            <w:pPr>
              <w:spacing w:after="0"/>
              <w:jc w:val="left"/>
            </w:pPr>
            <w:r>
              <w:rPr>
                <w:rFonts w:ascii="Aptos" w:hAnsi="Aptos"/>
                <w:b/>
                <w:i w:val="0"/>
                <w:color w:val="FFFFFF"/>
                <w:sz w:val="16"/>
              </w:rPr>
              <w:t>Potential content effect</w:t>
            </w:r>
          </w:p>
        </w:tc>
      </w:tr>
      <w:tr>
        <w:tc>
          <w:tcPr>
            <w:tcW w:type="dxa" w:w="4536"/>
            <w:tcMar>
              <w:top w:w="110" w:type="dxa"/>
              <w:start w:w="130" w:type="dxa"/>
              <w:bottom w:w="110" w:type="dxa"/>
              <w:end w:w="130" w:type="dxa"/>
            </w:tcMar>
            <w:vAlign w:val="center"/>
          </w:tcPr>
          <w:p>
            <w:pPr>
              <w:spacing w:after="0" w:line="252" w:lineRule="auto"/>
            </w:pPr>
            <w:r>
              <w:rPr>
                <w:rFonts w:ascii="Aptos" w:hAnsi="Aptos"/>
                <w:b w:val="0"/>
                <w:i w:val="0"/>
                <w:color w:val="483E36"/>
                <w:sz w:val="16"/>
              </w:rPr>
              <w:t>GET /api/insights/me</w:t>
            </w:r>
          </w:p>
        </w:tc>
        <w:tc>
          <w:tcPr>
            <w:tcW w:type="dxa" w:w="5256"/>
            <w:tcMar>
              <w:top w:w="110" w:type="dxa"/>
              <w:start w:w="130" w:type="dxa"/>
              <w:bottom w:w="110" w:type="dxa"/>
              <w:end w:w="130" w:type="dxa"/>
            </w:tcMar>
            <w:vAlign w:val="center"/>
          </w:tcPr>
          <w:p>
            <w:pPr>
              <w:spacing w:after="0" w:line="252" w:lineRule="auto"/>
            </w:pPr>
            <w:r>
              <w:rPr>
                <w:rFonts w:ascii="Aptos" w:hAnsi="Aptos"/>
                <w:b w:val="0"/>
                <w:i w:val="0"/>
                <w:color w:val="483E36"/>
                <w:sz w:val="16"/>
              </w:rPr>
              <w:t>Account-wide analysis is framed as an Ascend insight experience.</w:t>
            </w:r>
          </w:p>
        </w:tc>
      </w:tr>
      <w:tr>
        <w:tc>
          <w:tcPr>
            <w:tcW w:type="dxa" w:w="453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GET /api/insights/plan/{planId}/progress</w:t>
            </w:r>
          </w:p>
        </w:tc>
        <w:tc>
          <w:tcPr>
            <w:tcW w:type="dxa" w:w="525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Plan-progress recommendations inherit the Ascend coaching identity.</w:t>
            </w:r>
          </w:p>
        </w:tc>
      </w:tr>
      <w:tr>
        <w:tc>
          <w:tcPr>
            <w:tcW w:type="dxa" w:w="4536"/>
            <w:tcMar>
              <w:top w:w="110" w:type="dxa"/>
              <w:start w:w="130" w:type="dxa"/>
              <w:bottom w:w="110" w:type="dxa"/>
              <w:end w:w="130" w:type="dxa"/>
            </w:tcMar>
            <w:vAlign w:val="center"/>
          </w:tcPr>
          <w:p>
            <w:pPr>
              <w:spacing w:after="0" w:line="252" w:lineRule="auto"/>
            </w:pPr>
            <w:r>
              <w:rPr>
                <w:rFonts w:ascii="Aptos" w:hAnsi="Aptos"/>
                <w:b w:val="0"/>
                <w:i w:val="0"/>
                <w:color w:val="483E36"/>
                <w:sz w:val="16"/>
              </w:rPr>
              <w:t>GET /api/insights/me/coach-tip</w:t>
            </w:r>
          </w:p>
        </w:tc>
        <w:tc>
          <w:tcPr>
            <w:tcW w:type="dxa" w:w="5256"/>
            <w:tcMar>
              <w:top w:w="110" w:type="dxa"/>
              <w:start w:w="130" w:type="dxa"/>
              <w:bottom w:w="110" w:type="dxa"/>
              <w:end w:w="130" w:type="dxa"/>
            </w:tcMar>
            <w:vAlign w:val="center"/>
          </w:tcPr>
          <w:p>
            <w:pPr>
              <w:spacing w:after="0" w:line="252" w:lineRule="auto"/>
            </w:pPr>
            <w:r>
              <w:rPr>
                <w:rFonts w:ascii="Aptos" w:hAnsi="Aptos"/>
                <w:b w:val="0"/>
                <w:i w:val="0"/>
                <w:color w:val="483E36"/>
                <w:sz w:val="16"/>
              </w:rPr>
              <w:t>Generated tips and the fallback insight use Ascend Coach language.</w:t>
            </w:r>
          </w:p>
        </w:tc>
      </w:tr>
      <w:tr>
        <w:tc>
          <w:tcPr>
            <w:tcW w:type="dxa" w:w="453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POST /api/insights/me/coach-chat/conversations/{conversationId}/messages</w:t>
            </w:r>
          </w:p>
        </w:tc>
        <w:tc>
          <w:tcPr>
            <w:tcW w:type="dxa" w:w="525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Coach replies, topic boundaries, and future conversation summaries use Ascend branding.</w:t>
            </w:r>
          </w:p>
        </w:tc>
      </w:tr>
      <w:tr>
        <w:tc>
          <w:tcPr>
            <w:tcW w:type="dxa" w:w="4536"/>
            <w:tcMar>
              <w:top w:w="110" w:type="dxa"/>
              <w:start w:w="130" w:type="dxa"/>
              <w:bottom w:w="110" w:type="dxa"/>
              <w:end w:w="130" w:type="dxa"/>
            </w:tcMar>
            <w:vAlign w:val="center"/>
          </w:tcPr>
          <w:p>
            <w:pPr>
              <w:spacing w:after="0" w:line="252" w:lineRule="auto"/>
            </w:pPr>
            <w:r>
              <w:rPr>
                <w:rFonts w:ascii="Aptos" w:hAnsi="Aptos"/>
                <w:b w:val="0"/>
                <w:i w:val="0"/>
                <w:color w:val="483E36"/>
                <w:sz w:val="16"/>
              </w:rPr>
              <w:t>GET /api/cycle/insight</w:t>
            </w:r>
          </w:p>
        </w:tc>
        <w:tc>
          <w:tcPr>
            <w:tcW w:type="dxa" w:w="5256"/>
            <w:tcMar>
              <w:top w:w="110" w:type="dxa"/>
              <w:start w:w="130" w:type="dxa"/>
              <w:bottom w:w="110" w:type="dxa"/>
              <w:end w:w="130" w:type="dxa"/>
            </w:tcMar>
            <w:vAlign w:val="center"/>
          </w:tcPr>
          <w:p>
            <w:pPr>
              <w:spacing w:after="0" w:line="252" w:lineRule="auto"/>
            </w:pPr>
            <w:r>
              <w:rPr>
                <w:rFonts w:ascii="Aptos" w:hAnsi="Aptos"/>
                <w:b w:val="0"/>
                <w:i w:val="0"/>
                <w:color w:val="483E36"/>
                <w:sz w:val="16"/>
              </w:rPr>
              <w:t>Cycle-aware recommendations inherit the shared Ascend coaching identity.</w:t>
            </w:r>
          </w:p>
        </w:tc>
      </w:tr>
      <w:tr>
        <w:tc>
          <w:tcPr>
            <w:tcW w:type="dxa" w:w="453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POST /api/plans/starter-ai</w:t>
            </w:r>
          </w:p>
        </w:tc>
        <w:tc>
          <w:tcPr>
            <w:tcW w:type="dxa" w:w="525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Generated starter plans inherit the shared Ascend coaching identity.</w:t>
            </w:r>
          </w:p>
        </w:tc>
      </w:tr>
      <w:tr>
        <w:tc>
          <w:tcPr>
            <w:tcW w:type="dxa" w:w="4536"/>
            <w:tcMar>
              <w:top w:w="110" w:type="dxa"/>
              <w:start w:w="130" w:type="dxa"/>
              <w:bottom w:w="110" w:type="dxa"/>
              <w:end w:w="130" w:type="dxa"/>
            </w:tcMar>
            <w:vAlign w:val="center"/>
          </w:tcPr>
          <w:p>
            <w:pPr>
              <w:spacing w:after="0" w:line="252" w:lineRule="auto"/>
            </w:pPr>
            <w:r>
              <w:rPr>
                <w:rFonts w:ascii="Aptos" w:hAnsi="Aptos"/>
                <w:b w:val="0"/>
                <w:i w:val="0"/>
                <w:color w:val="483E36"/>
                <w:sz w:val="16"/>
              </w:rPr>
              <w:t>POST /api/plans/{planId}/balance-check</w:t>
            </w:r>
          </w:p>
        </w:tc>
        <w:tc>
          <w:tcPr>
            <w:tcW w:type="dxa" w:w="5256"/>
            <w:tcMar>
              <w:top w:w="110" w:type="dxa"/>
              <w:start w:w="130" w:type="dxa"/>
              <w:bottom w:w="110" w:type="dxa"/>
              <w:end w:w="130" w:type="dxa"/>
            </w:tcMar>
            <w:vAlign w:val="center"/>
          </w:tcPr>
          <w:p>
            <w:pPr>
              <w:spacing w:after="0" w:line="252" w:lineRule="auto"/>
            </w:pPr>
            <w:r>
              <w:rPr>
                <w:rFonts w:ascii="Aptos" w:hAnsi="Aptos"/>
                <w:b w:val="0"/>
                <w:i w:val="0"/>
                <w:color w:val="483E36"/>
                <w:sz w:val="16"/>
              </w:rPr>
              <w:t>AI balance-review language inherits the shared Ascend coaching identity.</w:t>
            </w:r>
          </w:p>
        </w:tc>
      </w:tr>
      <w:tr>
        <w:tc>
          <w:tcPr>
            <w:tcW w:type="dxa" w:w="453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GET /api/coach-client/clients/{clientId}/ai-brief</w:t>
            </w:r>
          </w:p>
        </w:tc>
        <w:tc>
          <w:tcPr>
            <w:tcW w:type="dxa" w:w="5256"/>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Coach-facing AI briefs inherit the shared Ascend coaching identity.</w:t>
            </w:r>
          </w:p>
        </w:tc>
      </w:tr>
    </w:tbl>
    <w:p>
      <w:pPr>
        <w:spacing w:after="20"/>
      </w:pPr>
    </w:p>
    <w:p>
      <w:pPr>
        <w:pStyle w:val="Heading2"/>
        <w:keepNext/>
      </w:pPr>
      <w:r>
        <w:t>Mobile action</w:t>
      </w:r>
    </w:p>
    <w:p>
      <w:pPr>
        <w:pStyle w:val="ListBullet"/>
        <w:spacing w:after="80" w:line="259" w:lineRule="auto"/>
      </w:pPr>
      <w:r>
        <w:rPr>
          <w:rFonts w:ascii="Aptos" w:hAnsi="Aptos"/>
          <w:b w:val="0"/>
          <w:i w:val="0"/>
          <w:color w:val="483E36"/>
          <w:sz w:val="20"/>
        </w:rPr>
        <w:t>Do not parse AI prose for the Xenoh or Ascend brand name.</w:t>
      </w:r>
    </w:p>
    <w:p>
      <w:pPr>
        <w:pStyle w:val="ListBullet"/>
        <w:spacing w:after="80" w:line="259" w:lineRule="auto"/>
      </w:pPr>
      <w:r>
        <w:rPr>
          <w:rFonts w:ascii="Aptos" w:hAnsi="Aptos"/>
          <w:b w:val="0"/>
          <w:i w:val="0"/>
          <w:color w:val="483E36"/>
          <w:sz w:val="20"/>
        </w:rPr>
        <w:t>Keep rendering the existing typed response fields.</w:t>
      </w:r>
    </w:p>
    <w:p>
      <w:pPr>
        <w:pStyle w:val="ListBullet"/>
        <w:spacing w:after="80" w:line="259" w:lineRule="auto"/>
      </w:pPr>
      <w:r>
        <w:rPr>
          <w:rFonts w:ascii="Aptos" w:hAnsi="Aptos"/>
          <w:b w:val="0"/>
          <w:i w:val="0"/>
          <w:color w:val="483E36"/>
          <w:sz w:val="20"/>
        </w:rPr>
        <w:t>Update golden tests and screenshots that contain legacy generated copy.</w:t>
      </w:r>
    </w:p>
    <w:p>
      <w:pPr>
        <w:pStyle w:val="ListBullet"/>
        <w:spacing w:after="80" w:line="259" w:lineRule="auto"/>
      </w:pPr>
      <w:r>
        <w:rPr>
          <w:rFonts w:ascii="Aptos" w:hAnsi="Aptos"/>
          <w:b w:val="0"/>
          <w:i w:val="0"/>
          <w:color w:val="483E36"/>
          <w:sz w:val="20"/>
        </w:rPr>
        <w:t>If the mobile app caches AI text locally, allow legacy text to age out or clear only the relevant content cache during migration.</w:t>
      </w:r>
    </w:p>
    <w:p>
      <w:r>
        <w:br w:type="page"/>
      </w:r>
    </w:p>
    <w:p>
      <w:pPr>
        <w:pStyle w:val="Heading1"/>
        <w:keepNext/>
      </w:pPr>
      <w:r>
        <w:t>5 Email and generated media changes</w:t>
      </w:r>
    </w:p>
    <w:p>
      <w:pPr>
        <w:pStyle w:val="Heading2"/>
        <w:keepNext/>
      </w:pPr>
      <w:r>
        <w:t>Password reset</w:t>
      </w:r>
    </w:p>
    <w:p>
      <w:pPr>
        <w:spacing w:after="140" w:line="269" w:lineRule="auto"/>
      </w:pPr>
      <w:r>
        <w:rPr>
          <w:rFonts w:ascii="Aptos" w:hAnsi="Aptos"/>
          <w:b w:val="0"/>
          <w:i w:val="0"/>
          <w:color w:val="483E36"/>
          <w:sz w:val="20"/>
        </w:rPr>
        <w:t>POST /api/auth/forgot-password/send-code keeps the same request and response behavior. Its side-effect email now uses Ascend in the subject, plain-text body, HTML header, and reset instructions.</w:t>
      </w:r>
    </w:p>
    <w:p>
      <w:pPr>
        <w:pStyle w:val="Heading2"/>
        <w:keepNext/>
      </w:pPr>
      <w:r>
        <w:t>Account deletion</w:t>
      </w:r>
    </w:p>
    <w:p>
      <w:pPr>
        <w:spacing w:after="140" w:line="269" w:lineRule="auto"/>
      </w:pPr>
      <w:r>
        <w:rPr>
          <w:rFonts w:ascii="Aptos" w:hAnsi="Aptos"/>
          <w:b w:val="0"/>
          <w:i w:val="0"/>
          <w:color w:val="483E36"/>
          <w:sz w:val="20"/>
        </w:rPr>
        <w:t>POST /api/auth/account-deletion-requests keeps the same request and response behavior. Its verification email now uses Ascend in the subject and HTML confirmation text.</w:t>
      </w:r>
    </w:p>
    <w:p>
      <w:pPr>
        <w:pStyle w:val="Heading2"/>
        <w:keepNext/>
      </w:pPr>
      <w:r>
        <w:t>Sender name</w:t>
      </w:r>
    </w:p>
    <w:p>
      <w:pPr>
        <w:spacing w:after="140" w:line="269" w:lineRule="auto"/>
      </w:pPr>
      <w:r>
        <w:rPr>
          <w:rFonts w:ascii="Aptos" w:hAnsi="Aptos"/>
          <w:b w:val="0"/>
          <w:i w:val="0"/>
          <w:color w:val="483E36"/>
          <w:sz w:val="20"/>
        </w:rPr>
        <w:t>The default SMTP sender display name changed from Xenoh to Ascend in application settings and SmtpOptions. The configured sender email address is unchanged.</w:t>
      </w:r>
    </w:p>
    <w:p>
      <w:pPr>
        <w:pStyle w:val="Heading2"/>
        <w:keepNext/>
      </w:pPr>
      <w:r>
        <w:t>Personal record share image</w:t>
      </w:r>
    </w:p>
    <w:p>
      <w:pPr>
        <w:spacing w:after="140" w:line="269" w:lineRule="auto"/>
      </w:pPr>
      <w:r>
        <w:rPr>
          <w:rFonts w:ascii="Aptos" w:hAnsi="Aptos"/>
          <w:b w:val="0"/>
          <w:i w:val="0"/>
          <w:color w:val="483E36"/>
          <w:sz w:val="20"/>
        </w:rPr>
        <w:t>The public PR image endpoint keeps its route, parameters, PNG result, caching behavior, and storage flow. Only the drawn brand lettering changed. Mobile clients that cache the image by URL may continue showing an old stored image until the cache is refreshed or the server generates a new object.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92"/>
            <w:shd w:fill="211B17"/>
            <w:tcMar>
              <w:top w:w="110" w:type="dxa"/>
              <w:start w:w="130" w:type="dxa"/>
              <w:bottom w:w="110" w:type="dxa"/>
              <w:end w:w="130" w:type="dxa"/>
            </w:tcMar>
            <w:vAlign w:val="center"/>
          </w:tcPr>
          <w:p>
            <w:pPr>
              <w:spacing w:after="0"/>
              <w:jc w:val="left"/>
            </w:pPr>
            <w:r>
              <w:rPr>
                <w:rFonts w:ascii="Aptos" w:hAnsi="Aptos"/>
                <w:b/>
                <w:i w:val="0"/>
                <w:color w:val="FFFFFF"/>
                <w:sz w:val="17"/>
              </w:rPr>
              <w:t>Flow</w:t>
            </w:r>
          </w:p>
        </w:tc>
        <w:tc>
          <w:tcPr>
            <w:tcW w:type="dxa" w:w="3600"/>
            <w:shd w:fill="211B17"/>
            <w:tcMar>
              <w:top w:w="110" w:type="dxa"/>
              <w:start w:w="130" w:type="dxa"/>
              <w:bottom w:w="110" w:type="dxa"/>
              <w:end w:w="130" w:type="dxa"/>
            </w:tcMar>
            <w:vAlign w:val="center"/>
          </w:tcPr>
          <w:p>
            <w:pPr>
              <w:spacing w:after="0"/>
              <w:jc w:val="left"/>
            </w:pPr>
            <w:r>
              <w:rPr>
                <w:rFonts w:ascii="Aptos" w:hAnsi="Aptos"/>
                <w:b/>
                <w:i w:val="0"/>
                <w:color w:val="FFFFFF"/>
                <w:sz w:val="17"/>
              </w:rPr>
              <w:t>Before</w:t>
            </w:r>
          </w:p>
        </w:tc>
        <w:tc>
          <w:tcPr>
            <w:tcW w:type="dxa" w:w="3600"/>
            <w:shd w:fill="211B17"/>
            <w:tcMar>
              <w:top w:w="110" w:type="dxa"/>
              <w:start w:w="130" w:type="dxa"/>
              <w:bottom w:w="110" w:type="dxa"/>
              <w:end w:w="130" w:type="dxa"/>
            </w:tcMar>
            <w:vAlign w:val="center"/>
          </w:tcPr>
          <w:p>
            <w:pPr>
              <w:spacing w:after="0"/>
              <w:jc w:val="left"/>
            </w:pPr>
            <w:r>
              <w:rPr>
                <w:rFonts w:ascii="Aptos" w:hAnsi="Aptos"/>
                <w:b/>
                <w:i w:val="0"/>
                <w:color w:val="FFFFFF"/>
                <w:sz w:val="17"/>
              </w:rPr>
              <w:t>After</w:t>
            </w:r>
          </w:p>
        </w:tc>
      </w:tr>
      <w:tr>
        <w:tc>
          <w:tcPr>
            <w:tcW w:type="dxa" w:w="2592"/>
            <w:tcMar>
              <w:top w:w="110" w:type="dxa"/>
              <w:start w:w="130" w:type="dxa"/>
              <w:bottom w:w="110" w:type="dxa"/>
              <w:end w:w="130" w:type="dxa"/>
            </w:tcMar>
            <w:vAlign w:val="center"/>
          </w:tcPr>
          <w:p>
            <w:pPr>
              <w:spacing w:after="0" w:line="252" w:lineRule="auto"/>
            </w:pPr>
            <w:r>
              <w:rPr>
                <w:rFonts w:ascii="Aptos" w:hAnsi="Aptos"/>
                <w:b w:val="0"/>
                <w:i w:val="0"/>
                <w:color w:val="483E36"/>
                <w:sz w:val="17"/>
              </w:rPr>
              <w:t>Password reset subject</w:t>
            </w:r>
          </w:p>
        </w:tc>
        <w:tc>
          <w:tcPr>
            <w:tcW w:type="dxa" w:w="3600"/>
            <w:tcMar>
              <w:top w:w="110" w:type="dxa"/>
              <w:start w:w="130" w:type="dxa"/>
              <w:bottom w:w="110" w:type="dxa"/>
              <w:end w:w="130" w:type="dxa"/>
            </w:tcMar>
            <w:vAlign w:val="center"/>
          </w:tcPr>
          <w:p>
            <w:pPr>
              <w:spacing w:after="0" w:line="252" w:lineRule="auto"/>
            </w:pPr>
            <w:r>
              <w:rPr>
                <w:rFonts w:ascii="Aptos" w:hAnsi="Aptos"/>
                <w:b w:val="0"/>
                <w:i w:val="0"/>
                <w:color w:val="483E36"/>
                <w:sz w:val="17"/>
              </w:rPr>
              <w:t>Your Xenoh password reset code</w:t>
            </w:r>
          </w:p>
        </w:tc>
        <w:tc>
          <w:tcPr>
            <w:tcW w:type="dxa" w:w="3600"/>
            <w:tcMar>
              <w:top w:w="110" w:type="dxa"/>
              <w:start w:w="130" w:type="dxa"/>
              <w:bottom w:w="110" w:type="dxa"/>
              <w:end w:w="130" w:type="dxa"/>
            </w:tcMar>
            <w:vAlign w:val="center"/>
          </w:tcPr>
          <w:p>
            <w:pPr>
              <w:spacing w:after="0" w:line="252" w:lineRule="auto"/>
            </w:pPr>
            <w:r>
              <w:rPr>
                <w:rFonts w:ascii="Aptos" w:hAnsi="Aptos"/>
                <w:b w:val="0"/>
                <w:i w:val="0"/>
                <w:color w:val="483E36"/>
                <w:sz w:val="17"/>
              </w:rPr>
              <w:t>Your Ascend password reset code</w:t>
            </w:r>
          </w:p>
        </w:tc>
      </w:tr>
      <w:tr>
        <w:tc>
          <w:tcPr>
            <w:tcW w:type="dxa" w:w="259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Deletion subject</w:t>
            </w:r>
          </w:p>
        </w:tc>
        <w:tc>
          <w:tcPr>
            <w:tcW w:type="dxa" w:w="36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Confirm Xenoh account deletion</w:t>
            </w:r>
          </w:p>
        </w:tc>
        <w:tc>
          <w:tcPr>
            <w:tcW w:type="dxa" w:w="36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Confirm Ascend account deletion</w:t>
            </w:r>
          </w:p>
        </w:tc>
      </w:tr>
      <w:tr>
        <w:tc>
          <w:tcPr>
            <w:tcW w:type="dxa" w:w="2592"/>
            <w:tcMar>
              <w:top w:w="110" w:type="dxa"/>
              <w:start w:w="130" w:type="dxa"/>
              <w:bottom w:w="110" w:type="dxa"/>
              <w:end w:w="130" w:type="dxa"/>
            </w:tcMar>
            <w:vAlign w:val="center"/>
          </w:tcPr>
          <w:p>
            <w:pPr>
              <w:spacing w:after="0" w:line="252" w:lineRule="auto"/>
            </w:pPr>
            <w:r>
              <w:rPr>
                <w:rFonts w:ascii="Aptos" w:hAnsi="Aptos"/>
                <w:b w:val="0"/>
                <w:i w:val="0"/>
                <w:color w:val="483E36"/>
                <w:sz w:val="17"/>
              </w:rPr>
              <w:t>SMTP display name</w:t>
            </w:r>
          </w:p>
        </w:tc>
        <w:tc>
          <w:tcPr>
            <w:tcW w:type="dxa" w:w="3600"/>
            <w:tcMar>
              <w:top w:w="110" w:type="dxa"/>
              <w:start w:w="130" w:type="dxa"/>
              <w:bottom w:w="110" w:type="dxa"/>
              <w:end w:w="130" w:type="dxa"/>
            </w:tcMar>
            <w:vAlign w:val="center"/>
          </w:tcPr>
          <w:p>
            <w:pPr>
              <w:spacing w:after="0" w:line="252" w:lineRule="auto"/>
            </w:pPr>
            <w:r>
              <w:rPr>
                <w:rFonts w:ascii="Aptos" w:hAnsi="Aptos"/>
                <w:b w:val="0"/>
                <w:i w:val="0"/>
                <w:color w:val="483E36"/>
                <w:sz w:val="17"/>
              </w:rPr>
              <w:t>Xenoh</w:t>
            </w:r>
          </w:p>
        </w:tc>
        <w:tc>
          <w:tcPr>
            <w:tcW w:type="dxa" w:w="3600"/>
            <w:tcMar>
              <w:top w:w="110" w:type="dxa"/>
              <w:start w:w="130" w:type="dxa"/>
              <w:bottom w:w="110" w:type="dxa"/>
              <w:end w:w="130" w:type="dxa"/>
            </w:tcMar>
            <w:vAlign w:val="center"/>
          </w:tcPr>
          <w:p>
            <w:pPr>
              <w:spacing w:after="0" w:line="252" w:lineRule="auto"/>
            </w:pPr>
            <w:r>
              <w:rPr>
                <w:rFonts w:ascii="Aptos" w:hAnsi="Aptos"/>
                <w:b w:val="0"/>
                <w:i w:val="0"/>
                <w:color w:val="483E36"/>
                <w:sz w:val="17"/>
              </w:rPr>
              <w:t>Ascend</w:t>
            </w:r>
          </w:p>
        </w:tc>
      </w:tr>
      <w:tr>
        <w:tc>
          <w:tcPr>
            <w:tcW w:type="dxa" w:w="259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PR image lettering</w:t>
            </w:r>
          </w:p>
        </w:tc>
        <w:tc>
          <w:tcPr>
            <w:tcW w:type="dxa" w:w="36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X E N O H</w:t>
            </w:r>
          </w:p>
        </w:tc>
        <w:tc>
          <w:tcPr>
            <w:tcW w:type="dxa" w:w="36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A S C E N D</w:t>
            </w:r>
          </w:p>
        </w:tc>
      </w:tr>
    </w:tbl>
    <w:p>
      <w:pPr>
        <w:spacing w:after="20"/>
      </w:pPr>
    </w:p>
    <w:p>
      <w:r>
        <w:br w:type="page"/>
      </w:r>
    </w:p>
    <w:p>
      <w:pPr>
        <w:pStyle w:val="Heading1"/>
        <w:keepNext/>
      </w:pPr>
      <w:r>
        <w:t>6 Contracts intentionally unchanged</w:t>
      </w:r>
    </w:p>
    <w:p>
      <w:pPr>
        <w:spacing w:after="140" w:line="269" w:lineRule="auto"/>
      </w:pPr>
      <w:r>
        <w:rPr>
          <w:rFonts w:ascii="Aptos" w:hAnsi="Aptos"/>
          <w:b w:val="0"/>
          <w:i w:val="0"/>
          <w:color w:val="483E36"/>
          <w:sz w:val="20"/>
        </w:rPr>
        <w:t>The following legacy technical identifiers remain active. The mobile app must keep using them until the backend and deployed infrastructure support a coordinated migration.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211B17"/>
            <w:tcMar>
              <w:top w:w="110" w:type="dxa"/>
              <w:start w:w="130" w:type="dxa"/>
              <w:bottom w:w="110" w:type="dxa"/>
              <w:end w:w="130" w:type="dxa"/>
            </w:tcMar>
            <w:vAlign w:val="center"/>
          </w:tcPr>
          <w:p>
            <w:pPr>
              <w:spacing w:after="0"/>
              <w:jc w:val="left"/>
            </w:pPr>
            <w:r>
              <w:rPr>
                <w:rFonts w:ascii="Aptos" w:hAnsi="Aptos"/>
                <w:b/>
                <w:i w:val="0"/>
                <w:color w:val="FFFFFF"/>
                <w:sz w:val="16"/>
              </w:rPr>
              <w:t>Contract</w:t>
            </w:r>
          </w:p>
        </w:tc>
        <w:tc>
          <w:tcPr>
            <w:tcW w:type="dxa" w:w="3528"/>
            <w:shd w:fill="211B17"/>
            <w:tcMar>
              <w:top w:w="110" w:type="dxa"/>
              <w:start w:w="130" w:type="dxa"/>
              <w:bottom w:w="110" w:type="dxa"/>
              <w:end w:w="130" w:type="dxa"/>
            </w:tcMar>
            <w:vAlign w:val="center"/>
          </w:tcPr>
          <w:p>
            <w:pPr>
              <w:spacing w:after="0"/>
              <w:jc w:val="left"/>
            </w:pPr>
            <w:r>
              <w:rPr>
                <w:rFonts w:ascii="Aptos" w:hAnsi="Aptos"/>
                <w:b/>
                <w:i w:val="0"/>
                <w:color w:val="FFFFFF"/>
                <w:sz w:val="16"/>
              </w:rPr>
              <w:t>Current value or family</w:t>
            </w:r>
          </w:p>
        </w:tc>
        <w:tc>
          <w:tcPr>
            <w:tcW w:type="dxa" w:w="4032"/>
            <w:shd w:fill="211B17"/>
            <w:tcMar>
              <w:top w:w="110" w:type="dxa"/>
              <w:start w:w="130" w:type="dxa"/>
              <w:bottom w:w="110" w:type="dxa"/>
              <w:end w:w="130" w:type="dxa"/>
            </w:tcMar>
            <w:vAlign w:val="center"/>
          </w:tcPr>
          <w:p>
            <w:pPr>
              <w:spacing w:after="0"/>
              <w:jc w:val="left"/>
            </w:pPr>
            <w:r>
              <w:rPr>
                <w:rFonts w:ascii="Aptos" w:hAnsi="Aptos"/>
                <w:b/>
                <w:i w:val="0"/>
                <w:color w:val="FFFFFF"/>
                <w:sz w:val="16"/>
              </w:rPr>
              <w:t>Required mobile behavior</w:t>
            </w:r>
          </w:p>
        </w:tc>
      </w:tr>
      <w:tr>
        <w:tc>
          <w:tcPr>
            <w:tcW w:type="dxa" w:w="2232"/>
            <w:tcMar>
              <w:top w:w="110" w:type="dxa"/>
              <w:start w:w="130" w:type="dxa"/>
              <w:bottom w:w="110" w:type="dxa"/>
              <w:end w:w="130" w:type="dxa"/>
            </w:tcMar>
            <w:vAlign w:val="center"/>
          </w:tcPr>
          <w:p>
            <w:pPr>
              <w:spacing w:after="0" w:line="252" w:lineRule="auto"/>
            </w:pPr>
            <w:r>
              <w:rPr>
                <w:rFonts w:ascii="Aptos" w:hAnsi="Aptos"/>
                <w:b w:val="0"/>
                <w:i w:val="0"/>
                <w:color w:val="483E36"/>
                <w:sz w:val="16"/>
              </w:rPr>
              <w:t>API and asset hosts</w:t>
            </w:r>
          </w:p>
        </w:tc>
        <w:tc>
          <w:tcPr>
            <w:tcW w:type="dxa" w:w="3528"/>
            <w:tcMar>
              <w:top w:w="110" w:type="dxa"/>
              <w:start w:w="130" w:type="dxa"/>
              <w:bottom w:w="110" w:type="dxa"/>
              <w:end w:w="130" w:type="dxa"/>
            </w:tcMar>
            <w:vAlign w:val="center"/>
          </w:tcPr>
          <w:p>
            <w:pPr>
              <w:spacing w:after="0" w:line="252" w:lineRule="auto"/>
            </w:pPr>
            <w:r>
              <w:rPr>
                <w:rFonts w:ascii="Aptos" w:hAnsi="Aptos"/>
                <w:b w:val="0"/>
                <w:i w:val="0"/>
                <w:color w:val="483E36"/>
                <w:sz w:val="16"/>
              </w:rPr>
              <w:t>xenoh.online and xenoh.app domains</w:t>
            </w:r>
          </w:p>
        </w:tc>
        <w:tc>
          <w:tcPr>
            <w:tcW w:type="dxa" w:w="4032"/>
            <w:tcMar>
              <w:top w:w="110" w:type="dxa"/>
              <w:start w:w="130" w:type="dxa"/>
              <w:bottom w:w="110" w:type="dxa"/>
              <w:end w:w="130" w:type="dxa"/>
            </w:tcMar>
            <w:vAlign w:val="center"/>
          </w:tcPr>
          <w:p>
            <w:pPr>
              <w:spacing w:after="0" w:line="252" w:lineRule="auto"/>
            </w:pPr>
            <w:r>
              <w:rPr>
                <w:rFonts w:ascii="Aptos" w:hAnsi="Aptos"/>
                <w:b w:val="0"/>
                <w:i w:val="0"/>
                <w:color w:val="483E36"/>
                <w:sz w:val="16"/>
              </w:rPr>
              <w:t>Keep current base URLs and trusted-host rules.</w:t>
            </w:r>
          </w:p>
        </w:tc>
      </w:tr>
      <w:tr>
        <w:tc>
          <w:tcPr>
            <w:tcW w:type="dxa" w:w="223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Mobile callback scheme</w:t>
            </w:r>
          </w:p>
        </w:tc>
        <w:tc>
          <w:tcPr>
            <w:tcW w:type="dxa" w:w="352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xenoh://auth/social-callback</w:t>
            </w:r>
          </w:p>
        </w:tc>
        <w:tc>
          <w:tcPr>
            <w:tcW w:type="dxa" w:w="403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Keep registered scheme and external-auth callback handling.</w:t>
            </w:r>
          </w:p>
        </w:tc>
      </w:tr>
      <w:tr>
        <w:tc>
          <w:tcPr>
            <w:tcW w:type="dxa" w:w="2232"/>
            <w:tcMar>
              <w:top w:w="110" w:type="dxa"/>
              <w:start w:w="130" w:type="dxa"/>
              <w:bottom w:w="110" w:type="dxa"/>
              <w:end w:w="130" w:type="dxa"/>
            </w:tcMar>
            <w:vAlign w:val="center"/>
          </w:tcPr>
          <w:p>
            <w:pPr>
              <w:spacing w:after="0" w:line="252" w:lineRule="auto"/>
            </w:pPr>
            <w:r>
              <w:rPr>
                <w:rFonts w:ascii="Aptos" w:hAnsi="Aptos"/>
                <w:b w:val="0"/>
                <w:i w:val="0"/>
                <w:color w:val="483E36"/>
                <w:sz w:val="16"/>
              </w:rPr>
              <w:t>Analytics headers</w:t>
            </w:r>
          </w:p>
        </w:tc>
        <w:tc>
          <w:tcPr>
            <w:tcW w:type="dxa" w:w="3528"/>
            <w:tcMar>
              <w:top w:w="110" w:type="dxa"/>
              <w:start w:w="130" w:type="dxa"/>
              <w:bottom w:w="110" w:type="dxa"/>
              <w:end w:w="130" w:type="dxa"/>
            </w:tcMar>
            <w:vAlign w:val="center"/>
          </w:tcPr>
          <w:p>
            <w:pPr>
              <w:spacing w:after="0" w:line="252" w:lineRule="auto"/>
            </w:pPr>
            <w:r>
              <w:rPr>
                <w:rFonts w:ascii="Aptos" w:hAnsi="Aptos"/>
                <w:b w:val="0"/>
                <w:i w:val="0"/>
                <w:color w:val="483E36"/>
                <w:sz w:val="16"/>
              </w:rPr>
              <w:t>X-Xenoh-*</w:t>
            </w:r>
          </w:p>
        </w:tc>
        <w:tc>
          <w:tcPr>
            <w:tcW w:type="dxa" w:w="4032"/>
            <w:tcMar>
              <w:top w:w="110" w:type="dxa"/>
              <w:start w:w="130" w:type="dxa"/>
              <w:bottom w:w="110" w:type="dxa"/>
              <w:end w:w="130" w:type="dxa"/>
            </w:tcMar>
            <w:vAlign w:val="center"/>
          </w:tcPr>
          <w:p>
            <w:pPr>
              <w:spacing w:after="0" w:line="252" w:lineRule="auto"/>
            </w:pPr>
            <w:r>
              <w:rPr>
                <w:rFonts w:ascii="Aptos" w:hAnsi="Aptos"/>
                <w:b w:val="0"/>
                <w:i w:val="0"/>
                <w:color w:val="483E36"/>
                <w:sz w:val="16"/>
              </w:rPr>
              <w:t>Continue sending the existing header names.</w:t>
            </w:r>
          </w:p>
        </w:tc>
      </w:tr>
      <w:tr>
        <w:tc>
          <w:tcPr>
            <w:tcW w:type="dxa" w:w="223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JWT contract</w:t>
            </w:r>
          </w:p>
        </w:tc>
        <w:tc>
          <w:tcPr>
            <w:tcW w:type="dxa" w:w="352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Issuer XenohAPI and audience XenohClient</w:t>
            </w:r>
          </w:p>
        </w:tc>
        <w:tc>
          <w:tcPr>
            <w:tcW w:type="dxa" w:w="403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Keep existing token validation assumptions.</w:t>
            </w:r>
          </w:p>
        </w:tc>
      </w:tr>
      <w:tr>
        <w:tc>
          <w:tcPr>
            <w:tcW w:type="dxa" w:w="2232"/>
            <w:tcMar>
              <w:top w:w="110" w:type="dxa"/>
              <w:start w:w="130" w:type="dxa"/>
              <w:bottom w:w="110" w:type="dxa"/>
              <w:end w:w="130" w:type="dxa"/>
            </w:tcMar>
            <w:vAlign w:val="center"/>
          </w:tcPr>
          <w:p>
            <w:pPr>
              <w:spacing w:after="0" w:line="252" w:lineRule="auto"/>
            </w:pPr>
            <w:r>
              <w:rPr>
                <w:rFonts w:ascii="Aptos" w:hAnsi="Aptos"/>
                <w:b w:val="0"/>
                <w:i w:val="0"/>
                <w:color w:val="483E36"/>
                <w:sz w:val="16"/>
              </w:rPr>
              <w:t>Auth cookies</w:t>
            </w:r>
          </w:p>
        </w:tc>
        <w:tc>
          <w:tcPr>
            <w:tcW w:type="dxa" w:w="3528"/>
            <w:tcMar>
              <w:top w:w="110" w:type="dxa"/>
              <w:start w:w="130" w:type="dxa"/>
              <w:bottom w:w="110" w:type="dxa"/>
              <w:end w:w="130" w:type="dxa"/>
            </w:tcMar>
            <w:vAlign w:val="center"/>
          </w:tcPr>
          <w:p>
            <w:pPr>
              <w:spacing w:after="0" w:line="252" w:lineRule="auto"/>
            </w:pPr>
            <w:r>
              <w:rPr>
                <w:rFonts w:ascii="Aptos" w:hAnsi="Aptos"/>
                <w:b w:val="0"/>
                <w:i w:val="0"/>
                <w:color w:val="483E36"/>
                <w:sz w:val="16"/>
              </w:rPr>
              <w:t>xenoh.refresh and xenoh.external</w:t>
            </w:r>
          </w:p>
        </w:tc>
        <w:tc>
          <w:tcPr>
            <w:tcW w:type="dxa" w:w="4032"/>
            <w:tcMar>
              <w:top w:w="110" w:type="dxa"/>
              <w:start w:w="130" w:type="dxa"/>
              <w:bottom w:w="110" w:type="dxa"/>
              <w:end w:w="130" w:type="dxa"/>
            </w:tcMar>
            <w:vAlign w:val="center"/>
          </w:tcPr>
          <w:p>
            <w:pPr>
              <w:spacing w:after="0" w:line="252" w:lineRule="auto"/>
            </w:pPr>
            <w:r>
              <w:rPr>
                <w:rFonts w:ascii="Aptos" w:hAnsi="Aptos"/>
                <w:b w:val="0"/>
                <w:i w:val="0"/>
                <w:color w:val="483E36"/>
                <w:sz w:val="16"/>
              </w:rPr>
              <w:t>No mobile change; backend cookie names remain stable.</w:t>
            </w:r>
          </w:p>
        </w:tc>
      </w:tr>
      <w:tr>
        <w:tc>
          <w:tcPr>
            <w:tcW w:type="dxa" w:w="223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Payment references</w:t>
            </w:r>
          </w:p>
        </w:tc>
        <w:tc>
          <w:tcPr>
            <w:tcW w:type="dxa" w:w="352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XENOH plus identifier data</w:t>
            </w:r>
          </w:p>
        </w:tc>
        <w:tc>
          <w:tcPr>
            <w:tcW w:type="dxa" w:w="403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Do not rewrite or normalize server payment codes.</w:t>
            </w:r>
          </w:p>
        </w:tc>
      </w:tr>
      <w:tr>
        <w:tc>
          <w:tcPr>
            <w:tcW w:type="dxa" w:w="2232"/>
            <w:tcMar>
              <w:top w:w="110" w:type="dxa"/>
              <w:start w:w="130" w:type="dxa"/>
              <w:bottom w:w="110" w:type="dxa"/>
              <w:end w:w="130" w:type="dxa"/>
            </w:tcMar>
            <w:vAlign w:val="center"/>
          </w:tcPr>
          <w:p>
            <w:pPr>
              <w:spacing w:after="0" w:line="252" w:lineRule="auto"/>
            </w:pPr>
            <w:r>
              <w:rPr>
                <w:rFonts w:ascii="Aptos" w:hAnsi="Aptos"/>
                <w:b w:val="0"/>
                <w:i w:val="0"/>
                <w:color w:val="483E36"/>
                <w:sz w:val="16"/>
              </w:rPr>
              <w:t>Internal namespaces</w:t>
            </w:r>
          </w:p>
        </w:tc>
        <w:tc>
          <w:tcPr>
            <w:tcW w:type="dxa" w:w="3528"/>
            <w:tcMar>
              <w:top w:w="110" w:type="dxa"/>
              <w:start w:w="130" w:type="dxa"/>
              <w:bottom w:w="110" w:type="dxa"/>
              <w:end w:w="130" w:type="dxa"/>
            </w:tcMar>
            <w:vAlign w:val="center"/>
          </w:tcPr>
          <w:p>
            <w:pPr>
              <w:spacing w:after="0" w:line="252" w:lineRule="auto"/>
            </w:pPr>
            <w:r>
              <w:rPr>
                <w:rFonts w:ascii="Aptos" w:hAnsi="Aptos"/>
                <w:b w:val="0"/>
                <w:i w:val="0"/>
                <w:color w:val="483E36"/>
                <w:sz w:val="16"/>
              </w:rPr>
              <w:t>Xenoh.API, Xenoh.Application, Xenoh.Domain, Xenoh.Infrastructure</w:t>
            </w:r>
          </w:p>
        </w:tc>
        <w:tc>
          <w:tcPr>
            <w:tcW w:type="dxa" w:w="4032"/>
            <w:tcMar>
              <w:top w:w="110" w:type="dxa"/>
              <w:start w:w="130" w:type="dxa"/>
              <w:bottom w:w="110" w:type="dxa"/>
              <w:end w:w="130" w:type="dxa"/>
            </w:tcMar>
            <w:vAlign w:val="center"/>
          </w:tcPr>
          <w:p>
            <w:pPr>
              <w:spacing w:after="0" w:line="252" w:lineRule="auto"/>
            </w:pPr>
            <w:r>
              <w:rPr>
                <w:rFonts w:ascii="Aptos" w:hAnsi="Aptos"/>
                <w:b w:val="0"/>
                <w:i w:val="0"/>
                <w:color w:val="483E36"/>
                <w:sz w:val="16"/>
              </w:rPr>
              <w:t>No mobile dependency; internal names remain unchanged.</w:t>
            </w:r>
          </w:p>
        </w:tc>
      </w:tr>
      <w:tr>
        <w:tc>
          <w:tcPr>
            <w:tcW w:type="dxa" w:w="223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Redis, storage, and database identifiers</w:t>
            </w:r>
          </w:p>
        </w:tc>
        <w:tc>
          <w:tcPr>
            <w:tcW w:type="dxa" w:w="352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Existing xenoh-prefixed identifiers</w:t>
            </w:r>
          </w:p>
        </w:tc>
        <w:tc>
          <w:tcPr>
            <w:tcW w:type="dxa" w:w="403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No mobile change.</w:t>
            </w:r>
          </w:p>
        </w:tc>
      </w:tr>
    </w:tbl>
    <w:p>
      <w:pPr>
        <w:spacing w:after="20"/>
      </w:pPr>
    </w:p>
    <w:p>
      <w:pPr>
        <w:pStyle w:val="Heading2"/>
        <w:keepNext/>
      </w:pPr>
      <w:r>
        <w:t>Why this matters</w:t>
      </w:r>
    </w:p>
    <w:p>
      <w:pPr>
        <w:spacing w:after="140" w:line="269" w:lineRule="auto"/>
      </w:pPr>
      <w:r>
        <w:rPr>
          <w:rFonts w:ascii="Aptos" w:hAnsi="Aptos"/>
          <w:b w:val="0"/>
          <w:i w:val="0"/>
          <w:color w:val="483E36"/>
          <w:sz w:val="20"/>
        </w:rPr>
        <w:t>Changing these values as part of a visual rebrand could break social login, analytics attribution, token validation, payment reconciliation, cache separation, or connectivity. Their continued Xenoh naming is intentional compatibility behavior, not incomplete visible branding.</w:t>
      </w:r>
    </w:p>
    <w:p>
      <w:r>
        <w:br w:type="page"/>
      </w:r>
    </w:p>
    <w:p>
      <w:pPr>
        <w:pStyle w:val="Heading1"/>
        <w:keepNext/>
      </w:pPr>
      <w:r>
        <w:t>7 Mobile implementation checklist</w:t>
      </w:r>
    </w:p>
    <w:p>
      <w:pPr>
        <w:pStyle w:val="ListBullet"/>
        <w:spacing w:after="80" w:line="259" w:lineRule="auto"/>
      </w:pPr>
      <w:r>
        <w:rPr>
          <w:rFonts w:ascii="Aptos" w:hAnsi="Aptos"/>
          <w:b w:val="0"/>
          <w:i w:val="0"/>
          <w:color w:val="483E36"/>
          <w:sz w:val="20"/>
        </w:rPr>
        <w:t>[ ] Keep all current API routes, methods, base URLs, DTOs, and serializers.</w:t>
      </w:r>
    </w:p>
    <w:p>
      <w:pPr>
        <w:pStyle w:val="ListBullet"/>
        <w:spacing w:after="80" w:line="259" w:lineRule="auto"/>
      </w:pPr>
      <w:r>
        <w:rPr>
          <w:rFonts w:ascii="Aptos" w:hAnsi="Aptos"/>
          <w:b w:val="0"/>
          <w:i w:val="0"/>
          <w:color w:val="483E36"/>
          <w:sz w:val="20"/>
        </w:rPr>
        <w:t>[ ] Keep the xenoh mobile callback scheme for social authentication.</w:t>
      </w:r>
    </w:p>
    <w:p>
      <w:pPr>
        <w:pStyle w:val="ListBullet"/>
        <w:spacing w:after="80" w:line="259" w:lineRule="auto"/>
      </w:pPr>
      <w:r>
        <w:rPr>
          <w:rFonts w:ascii="Aptos" w:hAnsi="Aptos"/>
          <w:b w:val="0"/>
          <w:i w:val="0"/>
          <w:color w:val="483E36"/>
          <w:sz w:val="20"/>
        </w:rPr>
        <w:t>[ ] Keep sending X-Xenoh analytics headers exactly as implemented.</w:t>
      </w:r>
    </w:p>
    <w:p>
      <w:pPr>
        <w:pStyle w:val="ListBullet"/>
        <w:spacing w:after="80" w:line="259" w:lineRule="auto"/>
      </w:pPr>
      <w:r>
        <w:rPr>
          <w:rFonts w:ascii="Aptos" w:hAnsi="Aptos"/>
          <w:b w:val="0"/>
          <w:i w:val="0"/>
          <w:color w:val="483E36"/>
          <w:sz w:val="20"/>
        </w:rPr>
        <w:t>[ ] Update client-owned error fallbacks and snapshots from Xenoh to Ascend.</w:t>
      </w:r>
    </w:p>
    <w:p>
      <w:pPr>
        <w:pStyle w:val="ListBullet"/>
        <w:spacing w:after="80" w:line="259" w:lineRule="auto"/>
      </w:pPr>
      <w:r>
        <w:rPr>
          <w:rFonts w:ascii="Aptos" w:hAnsi="Aptos"/>
          <w:b w:val="0"/>
          <w:i w:val="0"/>
          <w:color w:val="483E36"/>
          <w:sz w:val="20"/>
        </w:rPr>
        <w:t>[ ] Do not compare complete AI responses as stable strings.</w:t>
      </w:r>
    </w:p>
    <w:p>
      <w:pPr>
        <w:pStyle w:val="ListBullet"/>
        <w:spacing w:after="80" w:line="259" w:lineRule="auto"/>
      </w:pPr>
      <w:r>
        <w:rPr>
          <w:rFonts w:ascii="Aptos" w:hAnsi="Aptos"/>
          <w:b w:val="0"/>
          <w:i w:val="0"/>
          <w:color w:val="483E36"/>
          <w:sz w:val="20"/>
        </w:rPr>
        <w:t>[ ] Refresh cached PR share images or append an existing cache-busting mechanism after deployment.</w:t>
      </w:r>
    </w:p>
    <w:p>
      <w:pPr>
        <w:pStyle w:val="ListBullet"/>
        <w:spacing w:after="80" w:line="259" w:lineRule="auto"/>
      </w:pPr>
      <w:r>
        <w:rPr>
          <w:rFonts w:ascii="Aptos" w:hAnsi="Aptos"/>
          <w:b w:val="0"/>
          <w:i w:val="0"/>
          <w:color w:val="483E36"/>
          <w:sz w:val="20"/>
        </w:rPr>
        <w:t>[ ] Verify password-reset and account-deletion flows from the mobile app through the received email link or code.</w:t>
      </w:r>
    </w:p>
    <w:p>
      <w:pPr>
        <w:pStyle w:val="ListBullet"/>
        <w:spacing w:after="80" w:line="259" w:lineRule="auto"/>
      </w:pPr>
      <w:r>
        <w:rPr>
          <w:rFonts w:ascii="Aptos" w:hAnsi="Aptos"/>
          <w:b w:val="0"/>
          <w:i w:val="0"/>
          <w:color w:val="483E36"/>
          <w:sz w:val="20"/>
        </w:rPr>
        <w:t>[ ] Test external registration when the provider omits a first name.</w:t>
      </w:r>
    </w:p>
    <w:p>
      <w:pPr>
        <w:pStyle w:val="ListBullet"/>
        <w:spacing w:after="80" w:line="259" w:lineRule="auto"/>
      </w:pPr>
      <w:r>
        <w:rPr>
          <w:rFonts w:ascii="Aptos" w:hAnsi="Aptos"/>
          <w:b w:val="0"/>
          <w:i w:val="0"/>
          <w:color w:val="483E36"/>
          <w:sz w:val="20"/>
        </w:rPr>
        <w:t>[ ] Test Organizer payment-order rejection and competition staff lookup not-found handling.</w:t>
      </w:r>
    </w:p>
    <w:p>
      <w:pPr>
        <w:pStyle w:val="ListBullet"/>
        <w:spacing w:after="80" w:line="259" w:lineRule="auto"/>
      </w:pPr>
      <w:r>
        <w:rPr>
          <w:rFonts w:ascii="Aptos" w:hAnsi="Aptos"/>
          <w:b w:val="0"/>
          <w:i w:val="0"/>
          <w:color w:val="483E36"/>
          <w:sz w:val="20"/>
        </w:rPr>
        <w:t>[ ] Review English and Vietnamese Ascend Coach responses.</w:t>
      </w:r>
    </w:p>
    <w:p>
      <w:pPr>
        <w:pStyle w:val="ListBullet"/>
        <w:spacing w:after="80" w:line="259" w:lineRule="auto"/>
      </w:pPr>
      <w:r>
        <w:rPr>
          <w:rFonts w:ascii="Aptos" w:hAnsi="Aptos"/>
          <w:b w:val="0"/>
          <w:i w:val="0"/>
          <w:color w:val="483E36"/>
          <w:sz w:val="20"/>
        </w:rPr>
        <w:t>[ ] Run a final case-insensitive UI search for Xenoh while allowing documented technical identifiers.</w:t>
      </w:r>
    </w:p>
    <w:p>
      <w:pPr>
        <w:pStyle w:val="Heading1"/>
        <w:keepNext/>
      </w:pPr>
      <w:r>
        <w:t>8 Verification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744"/>
            <w:shd w:fill="211B17"/>
            <w:tcMar>
              <w:top w:w="110" w:type="dxa"/>
              <w:start w:w="130" w:type="dxa"/>
              <w:bottom w:w="110" w:type="dxa"/>
              <w:end w:w="130" w:type="dxa"/>
            </w:tcMar>
            <w:vAlign w:val="center"/>
          </w:tcPr>
          <w:p>
            <w:pPr>
              <w:spacing w:after="0"/>
              <w:jc w:val="left"/>
            </w:pPr>
            <w:r>
              <w:rPr>
                <w:rFonts w:ascii="Aptos" w:hAnsi="Aptos"/>
                <w:b/>
                <w:i w:val="0"/>
                <w:color w:val="FFFFFF"/>
                <w:sz w:val="17"/>
              </w:rPr>
              <w:t>Check</w:t>
            </w:r>
          </w:p>
        </w:tc>
        <w:tc>
          <w:tcPr>
            <w:tcW w:type="dxa" w:w="6048"/>
            <w:shd w:fill="211B17"/>
            <w:tcMar>
              <w:top w:w="110" w:type="dxa"/>
              <w:start w:w="130" w:type="dxa"/>
              <w:bottom w:w="110" w:type="dxa"/>
              <w:end w:w="130" w:type="dxa"/>
            </w:tcMar>
            <w:vAlign w:val="center"/>
          </w:tcPr>
          <w:p>
            <w:pPr>
              <w:spacing w:after="0"/>
              <w:jc w:val="left"/>
            </w:pPr>
            <w:r>
              <w:rPr>
                <w:rFonts w:ascii="Aptos" w:hAnsi="Aptos"/>
                <w:b/>
                <w:i w:val="0"/>
                <w:color w:val="FFFFFF"/>
                <w:sz w:val="17"/>
              </w:rPr>
              <w:t>Result</w:t>
            </w:r>
          </w:p>
        </w:tc>
      </w:tr>
      <w:tr>
        <w:tc>
          <w:tcPr>
            <w:tcW w:type="dxa" w:w="3744"/>
            <w:tcMar>
              <w:top w:w="110" w:type="dxa"/>
              <w:start w:w="130" w:type="dxa"/>
              <w:bottom w:w="110" w:type="dxa"/>
              <w:end w:w="130" w:type="dxa"/>
            </w:tcMar>
            <w:vAlign w:val="center"/>
          </w:tcPr>
          <w:p>
            <w:pPr>
              <w:spacing w:after="0" w:line="252" w:lineRule="auto"/>
            </w:pPr>
            <w:r>
              <w:rPr>
                <w:rFonts w:ascii="Aptos" w:hAnsi="Aptos"/>
                <w:b w:val="0"/>
                <w:i w:val="0"/>
                <w:color w:val="483E36"/>
                <w:sz w:val="17"/>
              </w:rPr>
              <w:t>OpenAPI path comparison</w:t>
            </w:r>
          </w:p>
        </w:tc>
        <w:tc>
          <w:tcPr>
            <w:tcW w:type="dxa" w:w="6048"/>
            <w:tcMar>
              <w:top w:w="110" w:type="dxa"/>
              <w:start w:w="130" w:type="dxa"/>
              <w:bottom w:w="110" w:type="dxa"/>
              <w:end w:w="130" w:type="dxa"/>
            </w:tcMar>
            <w:vAlign w:val="center"/>
          </w:tcPr>
          <w:p>
            <w:pPr>
              <w:spacing w:after="0" w:line="252" w:lineRule="auto"/>
            </w:pPr>
            <w:r>
              <w:rPr>
                <w:rFonts w:ascii="Aptos" w:hAnsi="Aptos"/>
                <w:b w:val="0"/>
                <w:i w:val="0"/>
                <w:color w:val="483E36"/>
                <w:sz w:val="17"/>
              </w:rPr>
              <w:t>19 before and 19 after; identical path set</w:t>
            </w:r>
          </w:p>
        </w:tc>
      </w:tr>
      <w:tr>
        <w:tc>
          <w:tcPr>
            <w:tcW w:type="dxa" w:w="3744"/>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OpenAPI method comparison</w:t>
            </w:r>
          </w:p>
        </w:tc>
        <w:tc>
          <w:tcPr>
            <w:tcW w:type="dxa" w:w="60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Identical</w:t>
            </w:r>
          </w:p>
        </w:tc>
      </w:tr>
      <w:tr>
        <w:tc>
          <w:tcPr>
            <w:tcW w:type="dxa" w:w="3744"/>
            <w:tcMar>
              <w:top w:w="110" w:type="dxa"/>
              <w:start w:w="130" w:type="dxa"/>
              <w:bottom w:w="110" w:type="dxa"/>
              <w:end w:w="130" w:type="dxa"/>
            </w:tcMar>
            <w:vAlign w:val="center"/>
          </w:tcPr>
          <w:p>
            <w:pPr>
              <w:spacing w:after="0" w:line="252" w:lineRule="auto"/>
            </w:pPr>
            <w:r>
              <w:rPr>
                <w:rFonts w:ascii="Aptos" w:hAnsi="Aptos"/>
                <w:b w:val="0"/>
                <w:i w:val="0"/>
                <w:color w:val="483E36"/>
                <w:sz w:val="17"/>
              </w:rPr>
              <w:t>OpenAPI schema comparison</w:t>
            </w:r>
          </w:p>
        </w:tc>
        <w:tc>
          <w:tcPr>
            <w:tcW w:type="dxa" w:w="6048"/>
            <w:tcMar>
              <w:top w:w="110" w:type="dxa"/>
              <w:start w:w="130" w:type="dxa"/>
              <w:bottom w:w="110" w:type="dxa"/>
              <w:end w:w="130" w:type="dxa"/>
            </w:tcMar>
            <w:vAlign w:val="center"/>
          </w:tcPr>
          <w:p>
            <w:pPr>
              <w:spacing w:after="0" w:line="252" w:lineRule="auto"/>
            </w:pPr>
            <w:r>
              <w:rPr>
                <w:rFonts w:ascii="Aptos" w:hAnsi="Aptos"/>
                <w:b w:val="0"/>
                <w:i w:val="0"/>
                <w:color w:val="483E36"/>
                <w:sz w:val="17"/>
              </w:rPr>
              <w:t>Identical</w:t>
            </w:r>
          </w:p>
        </w:tc>
      </w:tr>
      <w:tr>
        <w:tc>
          <w:tcPr>
            <w:tcW w:type="dxa" w:w="3744"/>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OpenAPI servers and security comparison</w:t>
            </w:r>
          </w:p>
        </w:tc>
        <w:tc>
          <w:tcPr>
            <w:tcW w:type="dxa" w:w="60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Identical</w:t>
            </w:r>
          </w:p>
        </w:tc>
      </w:tr>
      <w:tr>
        <w:tc>
          <w:tcPr>
            <w:tcW w:type="dxa" w:w="3744"/>
            <w:tcMar>
              <w:top w:w="110" w:type="dxa"/>
              <w:start w:w="130" w:type="dxa"/>
              <w:bottom w:w="110" w:type="dxa"/>
              <w:end w:w="130" w:type="dxa"/>
            </w:tcMar>
            <w:vAlign w:val="center"/>
          </w:tcPr>
          <w:p>
            <w:pPr>
              <w:spacing w:after="0" w:line="252" w:lineRule="auto"/>
            </w:pPr>
            <w:r>
              <w:rPr>
                <w:rFonts w:ascii="Aptos" w:hAnsi="Aptos"/>
                <w:b w:val="0"/>
                <w:i w:val="0"/>
                <w:color w:val="483E36"/>
                <w:sz w:val="17"/>
              </w:rPr>
              <w:t>Backend test suite</w:t>
            </w:r>
          </w:p>
        </w:tc>
        <w:tc>
          <w:tcPr>
            <w:tcW w:type="dxa" w:w="6048"/>
            <w:tcMar>
              <w:top w:w="110" w:type="dxa"/>
              <w:start w:w="130" w:type="dxa"/>
              <w:bottom w:w="110" w:type="dxa"/>
              <w:end w:w="130" w:type="dxa"/>
            </w:tcMar>
            <w:vAlign w:val="center"/>
          </w:tcPr>
          <w:p>
            <w:pPr>
              <w:spacing w:after="0" w:line="252" w:lineRule="auto"/>
            </w:pPr>
            <w:r>
              <w:rPr>
                <w:rFonts w:ascii="Aptos" w:hAnsi="Aptos"/>
                <w:b w:val="0"/>
                <w:i w:val="0"/>
                <w:color w:val="483E36"/>
                <w:sz w:val="17"/>
              </w:rPr>
              <w:t>537 passed, 3 skipped, 0 failed</w:t>
            </w:r>
          </w:p>
        </w:tc>
      </w:tr>
      <w:tr>
        <w:tc>
          <w:tcPr>
            <w:tcW w:type="dxa" w:w="3744"/>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Git whitespace validation</w:t>
            </w:r>
          </w:p>
        </w:tc>
        <w:tc>
          <w:tcPr>
            <w:tcW w:type="dxa" w:w="6048"/>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7"/>
              </w:rPr>
              <w:t>Passed; line-ending notices only</w:t>
            </w:r>
          </w:p>
        </w:tc>
      </w:tr>
    </w:tbl>
    <w:p>
      <w:pPr>
        <w:spacing w:after="20"/>
      </w:pPr>
    </w:p>
    <w:p>
      <w:pPr>
        <w:spacing w:after="140" w:line="269" w:lineRule="auto"/>
      </w:pPr>
      <w:r>
        <w:rPr>
          <w:rFonts w:ascii="Aptos" w:hAnsi="Aptos"/>
          <w:b w:val="0"/>
          <w:i w:val="0"/>
          <w:color w:val="483E36"/>
          <w:sz w:val="20"/>
        </w:rPr>
        <w:t>The automated checks establish contract stability within the current tracked diff. Mobile release testing should still cover the changed observable flows because email delivery, generated AI text, and image caching depend on runtime services.</w:t>
      </w:r>
    </w:p>
    <w:p>
      <w:r>
        <w:br w:type="page"/>
      </w:r>
    </w:p>
    <w:p>
      <w:pPr>
        <w:pStyle w:val="Heading1"/>
        <w:keepNext/>
      </w:pPr>
      <w:r>
        <w:t>9 Backend source change index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392"/>
            <w:shd w:fill="211B17"/>
            <w:tcMar>
              <w:top w:w="110" w:type="dxa"/>
              <w:start w:w="130" w:type="dxa"/>
              <w:bottom w:w="110" w:type="dxa"/>
              <w:end w:w="130" w:type="dxa"/>
            </w:tcMar>
            <w:vAlign w:val="center"/>
          </w:tcPr>
          <w:p>
            <w:pPr>
              <w:spacing w:after="0"/>
              <w:jc w:val="left"/>
            </w:pPr>
            <w:r>
              <w:rPr>
                <w:rFonts w:ascii="Aptos" w:hAnsi="Aptos"/>
                <w:b/>
                <w:i w:val="0"/>
                <w:color w:val="FFFFFF"/>
                <w:sz w:val="16"/>
              </w:rPr>
              <w:t>File</w:t>
            </w:r>
          </w:p>
        </w:tc>
        <w:tc>
          <w:tcPr>
            <w:tcW w:type="dxa" w:w="5400"/>
            <w:shd w:fill="211B17"/>
            <w:tcMar>
              <w:top w:w="110" w:type="dxa"/>
              <w:start w:w="130" w:type="dxa"/>
              <w:bottom w:w="110" w:type="dxa"/>
              <w:end w:w="130" w:type="dxa"/>
            </w:tcMar>
            <w:vAlign w:val="center"/>
          </w:tcPr>
          <w:p>
            <w:pPr>
              <w:spacing w:after="0"/>
              <w:jc w:val="left"/>
            </w:pPr>
            <w:r>
              <w:rPr>
                <w:rFonts w:ascii="Aptos" w:hAnsi="Aptos"/>
                <w:b/>
                <w:i w:val="0"/>
                <w:color w:val="FFFFFF"/>
                <w:sz w:val="16"/>
              </w:rPr>
              <w:t>Purpose of change</w:t>
            </w:r>
          </w:p>
        </w:tc>
      </w:tr>
      <w:tr>
        <w:tc>
          <w:tcPr>
            <w:tcW w:type="dxa" w:w="4392"/>
            <w:tcMar>
              <w:top w:w="110" w:type="dxa"/>
              <w:start w:w="130" w:type="dxa"/>
              <w:bottom w:w="110" w:type="dxa"/>
              <w:end w:w="130" w:type="dxa"/>
            </w:tcMar>
            <w:vAlign w:val="center"/>
          </w:tcPr>
          <w:p>
            <w:pPr>
              <w:spacing w:after="0" w:line="252" w:lineRule="auto"/>
            </w:pPr>
            <w:r>
              <w:rPr>
                <w:rFonts w:ascii="Aptos" w:hAnsi="Aptos"/>
                <w:b w:val="0"/>
                <w:i w:val="0"/>
                <w:color w:val="483E36"/>
                <w:sz w:val="16"/>
              </w:rPr>
              <w:t>src/Xenoh.API/Program.cs</w:t>
            </w:r>
          </w:p>
        </w:tc>
        <w:tc>
          <w:tcPr>
            <w:tcW w:type="dxa" w:w="5400"/>
            <w:tcMar>
              <w:top w:w="110" w:type="dxa"/>
              <w:start w:w="130" w:type="dxa"/>
              <w:bottom w:w="110" w:type="dxa"/>
              <w:end w:w="130" w:type="dxa"/>
            </w:tcMar>
            <w:vAlign w:val="center"/>
          </w:tcPr>
          <w:p>
            <w:pPr>
              <w:spacing w:after="0" w:line="252" w:lineRule="auto"/>
            </w:pPr>
            <w:r>
              <w:rPr>
                <w:rFonts w:ascii="Aptos" w:hAnsi="Aptos"/>
                <w:b w:val="0"/>
                <w:i w:val="0"/>
                <w:color w:val="483E36"/>
                <w:sz w:val="16"/>
              </w:rPr>
              <w:t>Ascend title in generated OpenAPI and Scalar UI</w:t>
            </w:r>
          </w:p>
        </w:tc>
      </w:tr>
      <w:tr>
        <w:tc>
          <w:tcPr>
            <w:tcW w:type="dxa" w:w="439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src/Xenoh.API/appsettings.json</w:t>
            </w:r>
          </w:p>
        </w:tc>
        <w:tc>
          <w:tcPr>
            <w:tcW w:type="dxa" w:w="54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Ascend default SMTP display name</w:t>
            </w:r>
          </w:p>
        </w:tc>
      </w:tr>
      <w:tr>
        <w:tc>
          <w:tcPr>
            <w:tcW w:type="dxa" w:w="4392"/>
            <w:tcMar>
              <w:top w:w="110" w:type="dxa"/>
              <w:start w:w="130" w:type="dxa"/>
              <w:bottom w:w="110" w:type="dxa"/>
              <w:end w:w="130" w:type="dxa"/>
            </w:tcMar>
            <w:vAlign w:val="center"/>
          </w:tcPr>
          <w:p>
            <w:pPr>
              <w:spacing w:after="0" w:line="252" w:lineRule="auto"/>
            </w:pPr>
            <w:r>
              <w:rPr>
                <w:rFonts w:ascii="Aptos" w:hAnsi="Aptos"/>
                <w:b w:val="0"/>
                <w:i w:val="0"/>
                <w:color w:val="483E36"/>
                <w:sz w:val="16"/>
              </w:rPr>
              <w:t>openapi.json</w:t>
            </w:r>
          </w:p>
        </w:tc>
        <w:tc>
          <w:tcPr>
            <w:tcW w:type="dxa" w:w="5400"/>
            <w:tcMar>
              <w:top w:w="110" w:type="dxa"/>
              <w:start w:w="130" w:type="dxa"/>
              <w:bottom w:w="110" w:type="dxa"/>
              <w:end w:w="130" w:type="dxa"/>
            </w:tcMar>
            <w:vAlign w:val="center"/>
          </w:tcPr>
          <w:p>
            <w:pPr>
              <w:spacing w:after="0" w:line="252" w:lineRule="auto"/>
            </w:pPr>
            <w:r>
              <w:rPr>
                <w:rFonts w:ascii="Aptos" w:hAnsi="Aptos"/>
                <w:b w:val="0"/>
                <w:i w:val="0"/>
                <w:color w:val="483E36"/>
                <w:sz w:val="16"/>
              </w:rPr>
              <w:t>Ascend API information title</w:t>
            </w:r>
          </w:p>
        </w:tc>
      </w:tr>
      <w:tr>
        <w:tc>
          <w:tcPr>
            <w:tcW w:type="dxa" w:w="439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ExternalLoginHandler.cs</w:t>
            </w:r>
          </w:p>
        </w:tc>
        <w:tc>
          <w:tcPr>
            <w:tcW w:type="dxa" w:w="54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Ascend fallback first name for new social users</w:t>
            </w:r>
          </w:p>
        </w:tc>
      </w:tr>
      <w:tr>
        <w:tc>
          <w:tcPr>
            <w:tcW w:type="dxa" w:w="4392"/>
            <w:tcMar>
              <w:top w:w="110" w:type="dxa"/>
              <w:start w:w="130" w:type="dxa"/>
              <w:bottom w:w="110" w:type="dxa"/>
              <w:end w:w="130" w:type="dxa"/>
            </w:tcMar>
            <w:vAlign w:val="center"/>
          </w:tcPr>
          <w:p>
            <w:pPr>
              <w:spacing w:after="0" w:line="252" w:lineRule="auto"/>
            </w:pPr>
            <w:r>
              <w:rPr>
                <w:rFonts w:ascii="Aptos" w:hAnsi="Aptos"/>
                <w:b w:val="0"/>
                <w:i w:val="0"/>
                <w:color w:val="483E36"/>
                <w:sz w:val="16"/>
              </w:rPr>
              <w:t>EventFeature.cs</w:t>
            </w:r>
          </w:p>
        </w:tc>
        <w:tc>
          <w:tcPr>
            <w:tcW w:type="dxa" w:w="5400"/>
            <w:tcMar>
              <w:top w:w="110" w:type="dxa"/>
              <w:start w:w="130" w:type="dxa"/>
              <w:bottom w:w="110" w:type="dxa"/>
              <w:end w:w="130" w:type="dxa"/>
            </w:tcMar>
            <w:vAlign w:val="center"/>
          </w:tcPr>
          <w:p>
            <w:pPr>
              <w:spacing w:after="0" w:line="252" w:lineRule="auto"/>
            </w:pPr>
            <w:r>
              <w:rPr>
                <w:rFonts w:ascii="Aptos" w:hAnsi="Aptos"/>
                <w:b w:val="0"/>
                <w:i w:val="0"/>
                <w:color w:val="483E36"/>
                <w:sz w:val="16"/>
              </w:rPr>
              <w:t>Ascend competition staff lookup error text</w:t>
            </w:r>
          </w:p>
        </w:tc>
      </w:tr>
      <w:tr>
        <w:tc>
          <w:tcPr>
            <w:tcW w:type="dxa" w:w="439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CoachChatSupport.cs</w:t>
            </w:r>
          </w:p>
        </w:tc>
        <w:tc>
          <w:tcPr>
            <w:tcW w:type="dxa" w:w="54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Ascend off-topic coach-chat response</w:t>
            </w:r>
          </w:p>
        </w:tc>
      </w:tr>
      <w:tr>
        <w:tc>
          <w:tcPr>
            <w:tcW w:type="dxa" w:w="4392"/>
            <w:tcMar>
              <w:top w:w="110" w:type="dxa"/>
              <w:start w:w="130" w:type="dxa"/>
              <w:bottom w:w="110" w:type="dxa"/>
              <w:end w:w="130" w:type="dxa"/>
            </w:tcMar>
            <w:vAlign w:val="center"/>
          </w:tcPr>
          <w:p>
            <w:pPr>
              <w:spacing w:after="0" w:line="252" w:lineRule="auto"/>
            </w:pPr>
            <w:r>
              <w:rPr>
                <w:rFonts w:ascii="Aptos" w:hAnsi="Aptos"/>
                <w:b w:val="0"/>
                <w:i w:val="0"/>
                <w:color w:val="483E36"/>
                <w:sz w:val="16"/>
              </w:rPr>
              <w:t>GetTrainingCoachTipHandler.cs</w:t>
            </w:r>
          </w:p>
        </w:tc>
        <w:tc>
          <w:tcPr>
            <w:tcW w:type="dxa" w:w="5400"/>
            <w:tcMar>
              <w:top w:w="110" w:type="dxa"/>
              <w:start w:w="130" w:type="dxa"/>
              <w:bottom w:w="110" w:type="dxa"/>
              <w:end w:w="130" w:type="dxa"/>
            </w:tcMar>
            <w:vAlign w:val="center"/>
          </w:tcPr>
          <w:p>
            <w:pPr>
              <w:spacing w:after="0" w:line="252" w:lineRule="auto"/>
            </w:pPr>
            <w:r>
              <w:rPr>
                <w:rFonts w:ascii="Aptos" w:hAnsi="Aptos"/>
                <w:b w:val="0"/>
                <w:i w:val="0"/>
                <w:color w:val="483E36"/>
                <w:sz w:val="16"/>
              </w:rPr>
              <w:t>Ascend Coach fallback insight</w:t>
            </w:r>
          </w:p>
        </w:tc>
      </w:tr>
      <w:tr>
        <w:tc>
          <w:tcPr>
            <w:tcW w:type="dxa" w:w="439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CreatePaymentOrderHandler.cs</w:t>
            </w:r>
          </w:p>
        </w:tc>
        <w:tc>
          <w:tcPr>
            <w:tcW w:type="dxa" w:w="54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Ascend support error text</w:t>
            </w:r>
          </w:p>
        </w:tc>
      </w:tr>
      <w:tr>
        <w:tc>
          <w:tcPr>
            <w:tcW w:type="dxa" w:w="4392"/>
            <w:tcMar>
              <w:top w:w="110" w:type="dxa"/>
              <w:start w:w="130" w:type="dxa"/>
              <w:bottom w:w="110" w:type="dxa"/>
              <w:end w:w="130" w:type="dxa"/>
            </w:tcMar>
            <w:vAlign w:val="center"/>
          </w:tcPr>
          <w:p>
            <w:pPr>
              <w:spacing w:after="0" w:line="252" w:lineRule="auto"/>
            </w:pPr>
            <w:r>
              <w:rPr>
                <w:rFonts w:ascii="Aptos" w:hAnsi="Aptos"/>
                <w:b w:val="0"/>
                <w:i w:val="0"/>
                <w:color w:val="483E36"/>
                <w:sz w:val="16"/>
              </w:rPr>
              <w:t>OpenAiUserAnalysisAi.cs and OpenAiCycleInsightAi.cs</w:t>
            </w:r>
          </w:p>
        </w:tc>
        <w:tc>
          <w:tcPr>
            <w:tcW w:type="dxa" w:w="5400"/>
            <w:tcMar>
              <w:top w:w="110" w:type="dxa"/>
              <w:start w:w="130" w:type="dxa"/>
              <w:bottom w:w="110" w:type="dxa"/>
              <w:end w:w="130" w:type="dxa"/>
            </w:tcMar>
            <w:vAlign w:val="center"/>
          </w:tcPr>
          <w:p>
            <w:pPr>
              <w:spacing w:after="0" w:line="252" w:lineRule="auto"/>
            </w:pPr>
            <w:r>
              <w:rPr>
                <w:rFonts w:ascii="Aptos" w:hAnsi="Aptos"/>
                <w:b w:val="0"/>
                <w:i w:val="0"/>
                <w:color w:val="483E36"/>
                <w:sz w:val="16"/>
              </w:rPr>
              <w:t>Ascend prompt context and service description</w:t>
            </w:r>
          </w:p>
        </w:tc>
      </w:tr>
      <w:tr>
        <w:tc>
          <w:tcPr>
            <w:tcW w:type="dxa" w:w="439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XenohCoachPrompt.cs</w:t>
            </w:r>
          </w:p>
        </w:tc>
        <w:tc>
          <w:tcPr>
            <w:tcW w:type="dxa" w:w="54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Shared Ascend Coach identity</w:t>
            </w:r>
          </w:p>
        </w:tc>
      </w:tr>
      <w:tr>
        <w:tc>
          <w:tcPr>
            <w:tcW w:type="dxa" w:w="4392"/>
            <w:tcMar>
              <w:top w:w="110" w:type="dxa"/>
              <w:start w:w="130" w:type="dxa"/>
              <w:bottom w:w="110" w:type="dxa"/>
              <w:end w:w="130" w:type="dxa"/>
            </w:tcMar>
            <w:vAlign w:val="center"/>
          </w:tcPr>
          <w:p>
            <w:pPr>
              <w:spacing w:after="0" w:line="252" w:lineRule="auto"/>
            </w:pPr>
            <w:r>
              <w:rPr>
                <w:rFonts w:ascii="Aptos" w:hAnsi="Aptos"/>
                <w:b w:val="0"/>
                <w:i w:val="0"/>
                <w:color w:val="483E36"/>
                <w:sz w:val="16"/>
              </w:rPr>
              <w:t>SmtpEmailService.cs and SmtpOptions.cs</w:t>
            </w:r>
          </w:p>
        </w:tc>
        <w:tc>
          <w:tcPr>
            <w:tcW w:type="dxa" w:w="5400"/>
            <w:tcMar>
              <w:top w:w="110" w:type="dxa"/>
              <w:start w:w="130" w:type="dxa"/>
              <w:bottom w:w="110" w:type="dxa"/>
              <w:end w:w="130" w:type="dxa"/>
            </w:tcMar>
            <w:vAlign w:val="center"/>
          </w:tcPr>
          <w:p>
            <w:pPr>
              <w:spacing w:after="0" w:line="252" w:lineRule="auto"/>
            </w:pPr>
            <w:r>
              <w:rPr>
                <w:rFonts w:ascii="Aptos" w:hAnsi="Aptos"/>
                <w:b w:val="0"/>
                <w:i w:val="0"/>
                <w:color w:val="483E36"/>
                <w:sz w:val="16"/>
              </w:rPr>
              <w:t>Ascend transactional email branding</w:t>
            </w:r>
          </w:p>
        </w:tc>
      </w:tr>
      <w:tr>
        <w:tc>
          <w:tcPr>
            <w:tcW w:type="dxa" w:w="4392"/>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PrShareImageService.cs</w:t>
            </w:r>
          </w:p>
        </w:tc>
        <w:tc>
          <w:tcPr>
            <w:tcW w:type="dxa" w:w="5400"/>
            <w:shd w:fill="F7F4EF"/>
            <w:tcMar>
              <w:top w:w="110" w:type="dxa"/>
              <w:start w:w="130" w:type="dxa"/>
              <w:bottom w:w="110" w:type="dxa"/>
              <w:end w:w="130" w:type="dxa"/>
            </w:tcMar>
            <w:vAlign w:val="center"/>
          </w:tcPr>
          <w:p>
            <w:pPr>
              <w:spacing w:after="0" w:line="252" w:lineRule="auto"/>
            </w:pPr>
            <w:r>
              <w:rPr>
                <w:rFonts w:ascii="Aptos" w:hAnsi="Aptos"/>
                <w:b w:val="0"/>
                <w:i w:val="0"/>
                <w:color w:val="483E36"/>
                <w:sz w:val="16"/>
              </w:rPr>
              <w:t>Ascend lettering in generated PR images</w:t>
            </w:r>
          </w:p>
        </w:tc>
      </w:tr>
    </w:tbl>
    <w:p>
      <w:pPr>
        <w:spacing w:after="2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2584F"/>
        <w:sz w:val="16"/>
      </w:rPr>
      <w:t xml:space="preserve">Ascend Backend API Rebrand Change Description   |   </w:t>
    </w:r>
    <w:r>
      <w:rPr>
        <w:color w:val="62584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483E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top w:val="nil"/>
        <w:left w:val="nil"/>
        <w:right w:val="nil"/>
        <w:between w:val="nil"/>
        <w:bar w:val="nil"/>
      </w:pBdr>
      <w:spacing w:after="24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 Backend API Rebrand Change Description</dc:title>
  <dc:subject>Mobile integration impact of backend rebrand changes</dc:subject>
  <dc:creator>Ascend</dc:creator>
  <cp:keywords>Ascend, backend, API, mobile, rebrand, compatibility</cp:keywords>
  <dc:description>generated by python-docx</dc:description>
  <cp:lastModifiedBy/>
  <cp:revision>1</cp:revision>
  <dcterms:created xsi:type="dcterms:W3CDTF">2013-12-23T23:15:00Z</dcterms:created>
  <dcterms:modified xsi:type="dcterms:W3CDTF">2013-12-23T23:15:00Z</dcterms:modified>
  <cp:category/>
</cp:coreProperties>
</file>