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大三</w:t>
      </w:r>
      <w:r>
        <w:rPr>
          <w:rFonts w:ascii="微软雅黑" w:hAnsi="微软雅黑" w:eastAsia="微软雅黑"/>
          <w:b w:val="0"/>
          <w:color w:val="19232D"/>
          <w:sz w:val="20"/>
        </w:rPr>
        <w:t>在读）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/>
          <w:bCs/>
          <w:color w:val="19232D"/>
          <w:sz w:val="20"/>
        </w:rPr>
        <w:t>论文 PD-CAT 2026 国际会议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在审（并行三维网格生成）</w:t>
      </w:r>
    </w:p>
    <w:p w14:paraId="5639B9FB">
      <w:pPr>
        <w:spacing w:before="0" w:after="20" w:line="276" w:lineRule="auto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/>
          <w:color w:val="19232D"/>
          <w:sz w:val="20"/>
        </w:rPr>
        <w:t>软件著作权 登记</w:t>
      </w:r>
      <w:r>
        <w:rPr>
          <w:rFonts w:ascii="微软雅黑" w:hAnsi="微软雅黑" w:eastAsia="微软雅黑"/>
          <w:b w:val="0"/>
          <w:color w:val="19232D"/>
          <w:sz w:val="20"/>
        </w:rPr>
        <w:t>已受理</w:t>
      </w:r>
      <w:r>
        <w:rPr>
          <w:rFonts w:ascii="微软雅黑" w:hAnsi="微软雅黑" w:eastAsia="微软雅黑"/>
          <w:b/>
          <w:color w:val="19232D"/>
          <w:sz w:val="20"/>
        </w:rPr>
        <w:t xml:space="preserve"> · 专利</w:t>
      </w:r>
      <w:r>
        <w:rPr>
          <w:rFonts w:ascii="微软雅黑" w:hAnsi="微软雅黑" w:eastAsia="微软雅黑"/>
          <w:b w:val="0"/>
          <w:color w:val="19232D"/>
          <w:sz w:val="20"/>
        </w:rPr>
        <w:t>在审（基于烟标质检助手）</w:t>
      </w:r>
    </w:p>
    <w:p w14:paraId="31799C5D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</w:r>
      <w:r>
        <w:tab/>
      </w:r>
      <w:r>
        <w:t>2026.06 — 至今</w:t>
      </w:r>
    </w:p>
    <w:p w14:paraId="156A9093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把 烟标缺陷检测搬到 HarmonyOS 手机：YOLOv8 在端侧推理出结论，检测记录与原图上传服务器做集中复核与统计，形成「拍摄 → 检测 → 判定 → 上传 → 复核」闭环。本人负责端侧架构、模型接入、可靠上传与本地数据层。</w:t>
      </w:r>
    </w:p>
    <w:p w14:paraId="511DD27E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技术栈：ArkTS / ArkUI、YOLOv8、模型导出与端侧推理、C++ / NAPI、OpenCV、HarmonyOS RDB、HTTP 上传与重试、TaskPool、HAP 签名打包</w:t>
      </w:r>
    </w:p>
    <w:p w14:paraId="00D788FE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端侧 AI 链路：拍摄取图 → 预处理 → YOLOv8 推理 → 置信度过滤 → 本地落库 → 上传。模型与业务解耦，检测器可整体替换（早期传统 CV 链路切到 YOLOv8），换模型不动界面、数据与上传逻辑</w:t>
      </w:r>
    </w:p>
    <w:p w14:paraId="5455E330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上传可靠性：检测记录带唯一 ID 与状态机（待上传 / 已上传 / 失败），失败按退避重试、重复上传按 ID 幂等去重；原图与记录分开传，先小后大，弱网下优先保住判定结论</w:t>
      </w:r>
    </w:p>
    <w:p w14:paraId="41F21272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default"/>
        </w:rPr>
        <w:t>• </w:t>
      </w:r>
      <w:r>
        <w:rPr>
          <w:rFonts w:hint="eastAsia"/>
          <w:lang w:eastAsia="zh-CN"/>
        </w:rPr>
        <w:t>模型置信度分流策略：高置信度结果直接输出判定结论，低置信度结果标记“建议人工复核”，复核结果回流样本库，用于补充训练数据与下一轮模型迭代。</w:t>
      </w:r>
    </w:p>
    <w:p w14:paraId="2C2F07FB">
      <w:pPr>
        <w:spacing w:before="0" w:after="40" w:line="276" w:lineRule="auto"/>
        <w:ind w:left="320" w:hanging="320"/>
        <w:rPr>
          <w:rFonts w:hint="default"/>
        </w:rPr>
      </w:pPr>
      <w:r>
        <w:rPr>
          <w:rFonts w:hint="default"/>
        </w:rPr>
        <w:t>• 数据层（RDB）：样本库、检测历史、上传状态与登录态持久化到 HarmonyOS 关系型数据库，支持按时间 / 结果 / 置信度 / 上传状态检索；原图与记录绑定，可复现任意一张烟标的判定过程</w:t>
      </w:r>
    </w:p>
    <w:p w14:paraId="53674618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default"/>
        </w:rPr>
        <w:t>• 交付与验证：按「数据与标注 → 模型训练导出 → NAPI 打通 → 真机一致性验收」四阶段推进；覆盖文字行、图标、烫金套印与脏点四类缺陷</w:t>
      </w:r>
      <w:r>
        <w:rPr>
          <w:rFonts w:hint="eastAsia" w:eastAsia="宋体"/>
          <w:lang w:eastAsia="zh-CN"/>
        </w:rPr>
        <w:t>。</w:t>
      </w:r>
      <w:bookmarkStart w:id="0" w:name="_GoBack"/>
      <w:bookmarkEnd w:id="0"/>
    </w:p>
    <w:p w14:paraId="21592488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10E37A24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技术栈：Python、OpenCV、PyQt5、多线程 / 队列、Modbus RTU、FastAPI、Postgres、React、Docker Compose</w:t>
      </w:r>
    </w:p>
    <w:p w14:paraId="227A5D8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•AI层（Agent + RAG）：在不改动原有相机、算法、PLC的前提下叠加独立AI应用层，自研编排模块（含意图识别、工具选择、会话记忆、16个工具），基于FastAPI与SSE实现流式输出；采用BM25权重0.6、向量检索权重0.4的混合检索方案，检索后重排取前5条结果，答案附引用来源，证据不足时明确拒答（9/9）。</w:t>
      </w:r>
    </w:p>
    <w:p w14:paraId="1E9DE9E9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评测与反馈：设置132条工具回归用例（覆盖全部16个工具，校验工具链与包号解析逻辑）、105条语义评测用例、288例视觉标注（褶皱与工艺参数越界标注为0例）；针对差评仅询问操作员“问题出在哪”，导出后结合问答原文补充为新的评测用例。</w:t>
      </w:r>
    </w:p>
    <w:p w14:paraId="048A4F11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•全栈交付：采用FastAPI + Postgres + React工作台架构，通过Docker Compose一键启动nginx、api、pg服务，关闭SSE缓冲实现逐字输出；内置重排熔断、向量超时自动退回关键词检索、本地4B模型与云端模型可切换能力，端到端响应耗时从19.5s降至3-5s。</w:t>
      </w:r>
    </w:p>
    <w:p w14:paraId="2C66F74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rPr>
          <w:rFonts w:hint="eastAsia"/>
          <w:lang w:eastAsia="zh-CN"/>
        </w:rPr>
        <w:t>•双路算法与融合：可见光侧采用DP跟踪求解最优边缘，结合确定性RANSAC拟合基准线（设置内点率、覆盖率、残差、倾角四重质量门）；红外侧实现自适应温度分割、逐列几何量测、基于MAD的稳健异物检测；双相机通过PLC硬触发同帧采集，纳秒级时间戳配对误差±100ms，任一路数据缺失即降级为UNKNOWN状态，而非直接放行。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检测模型的训练与调优，以及跟踪、ROI 计数与多路调度算法（CPU 2 路 / GPU 4 路两套现场版本），系统侧的安全状态机与上位机由团队完成，我配合做算法侧验收。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410508BC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t>•</w:t>
      </w:r>
      <w:r>
        <w:tab/>
      </w:r>
      <w:r>
        <w:rPr>
          <w:rFonts w:hint="eastAsia"/>
          <w:b/>
          <w:lang w:eastAsia="zh-CN"/>
        </w:rPr>
        <w:t>检测与实时调度：基于自训</w:t>
      </w:r>
      <w:r>
        <w:rPr>
          <w:rFonts w:hint="eastAsia"/>
          <w:lang w:eastAsia="zh-CN"/>
        </w:rPr>
        <w:t>YOLOv8单类检测模型，支持2–4路1280×720分辨率视频流并发处理；仅保留最新帧并采用轮询公平调度机制，避免旧帧堆积；端到端响应时延（T0取帧至T1继电器触发）≤200ms，拆分为六个环节统计p95/p99耗时。</w:t>
      </w:r>
    </w:p>
    <w:p w14:paraId="1B45BF14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•安全口径（系统侧）：系统启动默认锁机，心跳超时强制触发锁机；复位需同时满足“全局人数为0、所有ON/IN区域无人、无故障”三个条件；本人参与算法侧验收工作：在故障注入（相机断线/推理超时）测试中，系统必须100%进入锁机状态，不允许静默降级。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42D9C66E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4D41C8"/>
    <w:rsid w:val="4AEF69A4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2239</Words>
  <Characters>2866</Characters>
  <Lines>0</Lines>
  <Paragraphs>0</Paragraphs>
  <TotalTime>36</TotalTime>
  <ScaleCrop>false</ScaleCrop>
  <LinksUpToDate>false</LinksUpToDate>
  <CharactersWithSpaces>3064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2026-10-25T01:19:48Z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2052-12.1.0.29158</vt:lpwstr>
  </property>
  <property fmtid="{D5CDD505-2E9C-101B-9397-08002B2CF9AE}" pid="4" name="ICV">
    <vt:lpwstr>FAAF4E362A5841A3AC0C2E6903B87EB5_12</vt:lpwstr>
  </property>
</Properties>
</file>