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  <w:tab/>
        <w:t>评测与反馈：132 条工具回归（覆盖全部 16 个工具，断言工具链与包号解析）+ 105 条语义评测 + 288 例视觉标注（褶皱与工艺参数越界 0 例）；差评只问操作员「哪不对」，导出后带问答原文补成评测用例</w:t>
      </w:r>
    </w:p>
    <w:p w14:paraId="2EFA36A9">
      <w:pPr>
        <w:spacing w:before="0" w:after="40" w:line="276" w:lineRule="auto"/>
        <w:ind w:left="320" w:hanging="320"/>
      </w:pPr>
      <w:r>
        <w:t>•</w:t>
        <w:tab/>
        <w:t>全栈交付：FastAPI + Postgres + React 工作台，Docker Compose 一条命令起 nginx → api → pg，SSE 关缓冲逐字输出；重排熔断、向量超时退回关键词、模型可切本地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