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RTU）、PyInstaller、FastAPI、RAG</w:t>
      </w:r>
    </w:p>
    <w:p w14:paraId="0ED3138B">
      <w:pPr>
        <w:spacing w:before="0" w:after="40" w:line="276" w:lineRule="auto"/>
        <w:ind w:left="320" w:hanging="320"/>
      </w:pPr>
      <w:r>
        <w:t>•</w:t>
        <w:tab/>
        <w:t>AI 层（Agent + RAG）：在不动原有相机 / 算法 / PLC 的前提下加独立 AI 应用层：自研编排（意图识别、工具选择、会话记忆、十六个工具），FastAPI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评测与性能：</w:t>
      </w:r>
      <w:r>
        <w:t>三层评测（221 条工具回归 / 64 条语义 / 288 例视觉标注，褶皱与工艺参数越界 0 例），据此定位并修复「含为什么的知识题被误判成单袋查询」；重排熔断、向量超时退回关键词、模型可切本地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全栈与数据链路：</w:t>
      </w:r>
      <w:r>
        <w:t>FastAPI + SQLite 持久化，后台 8 s 增量扫描产线输出；未开存图时解析检测日志兜底入库，前端工作台 10 s 轮询，检索与查询接口统一分页与超时降级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Fail-Safe 与多后端：</w:t>
      </w:r>
      <w:r>
        <w:t>启动默认锁机、检测到人保持锁机、心跳超时强制锁机，复位需「无人 + 无故障 + 模块健康」；同一业务链可在 CUDA / CPU / ONNXRuntime / NPU 间切换，锁机经 Modbus RTU 输出并保留 DI 软复位</w:t>
      </w:r>
    </w:p>
    <w:p w14:paraId="72FBABD6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  <w:tab/>
        <w:t>2026.06 — 至今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把 PC 端烟标缺陷检测算法迁到鸿蒙手机，现场拍照即可出判定结果。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端侧迁移与验收：按「测试集验证 → NAPI 链路 → C++ 全量移植 → 真机一致性验收」推进，缺陷级一致性判据 6/6 通过；受端侧算力限制单张需数秒到数十秒，用 TaskPool 异步执行 + OpenCV 静态编译控制内存与界面卡顿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算法与交互：覆盖文字行、图标、烫金套印与脏点四类缺陷；用 ORB + RANSAC 单应性替代相位相关，解决跨样张对齐在光照与形变下失效的问题，真机验收 6/6 一致；ArkTS + ArkUI 实现样本库、检测历史与登录态持久化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