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Times New Roman" w:hAnsi="Times New Roman" w:eastAsia="黑体"/>
          <w:b/>
          <w:color w:val="263D56"/>
          <w:sz w:val="48"/>
        </w:rPr>
        <w:t>印巴边境空中对抗行动</w:t>
      </w:r>
    </w:p>
    <w:p>
      <w:pPr>
        <w:spacing w:before="160"/>
        <w:jc w:val="center"/>
      </w:pPr>
      <w:r>
        <w:rPr>
          <w:rFonts w:ascii="Times New Roman" w:hAnsi="Times New Roman" w:eastAsia="黑体"/>
          <w:b/>
          <w:color w:val="263D56"/>
          <w:sz w:val="56"/>
        </w:rPr>
        <w:t>战 后 复 盘 报 告</w:t>
      </w:r>
    </w:p>
    <w:p>
      <w:pPr>
        <w:spacing w:before="1900"/>
        <w:jc w:val="center"/>
      </w:pPr>
      <w:r>
        <w:rPr>
          <w:rFonts w:ascii="Times New Roman" w:hAnsi="Times New Roman" w:eastAsia="宋体"/>
          <w:b w:val="0"/>
          <w:color w:val="464646"/>
          <w:sz w:val="24"/>
        </w:rPr>
        <w:t>行动日期：2025年5月7日</w:t>
        <w:br/>
      </w:r>
      <w:r>
        <w:rPr>
          <w:rFonts w:ascii="Times New Roman" w:hAnsi="Times New Roman" w:eastAsia="宋体"/>
          <w:b w:val="0"/>
          <w:color w:val="464646"/>
          <w:sz w:val="24"/>
        </w:rPr>
        <w:t>复盘范围：空中兵力展开、远程交锋、电子对抗及撤离处置</w:t>
        <w:br/>
      </w:r>
      <w:r>
        <w:rPr>
          <w:rFonts w:ascii="Times New Roman" w:hAnsi="Times New Roman" w:eastAsia="宋体"/>
          <w:b w:val="0"/>
          <w:color w:val="464646"/>
          <w:sz w:val="24"/>
        </w:rPr>
        <w:t>报告日期：2025年5月</w:t>
        <w:br/>
      </w:r>
    </w:p>
    <w:p>
      <w:pPr>
        <w:sectPr>
          <w:pgSz w:w="12240" w:h="15840"/>
          <w:pgMar w:top="1417" w:right="1417" w:bottom="1304" w:left="1531" w:header="624" w:footer="624" w:gutter="0"/>
          <w:cols w:space="720"/>
          <w:titlePg/>
          <w:docGrid w:linePitch="360"/>
        </w:sectPr>
      </w:pPr>
    </w:p>
    <w:p>
      <w:pPr>
        <w:pStyle w:val="Heading1"/>
        <w:spacing w:before="240" w:after="80"/>
      </w:pPr>
      <w:r>
        <w:t>一、行动基本情况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行动名称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印巴边境空中对抗行动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行动时间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2025年5月7日</w:t>
            </w:r>
          </w:p>
        </w:tc>
      </w:tr>
      <w:tr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行动区域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印巴边境及双方纵深机场空域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行动性质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边境空中对抗</w:t>
            </w:r>
          </w:p>
        </w:tc>
      </w:tr>
      <w:tr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印方主要力量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苏-30MKI、阵风战斗机及预警支援力量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巴方主要力量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JF-17战斗机及预警、地面雷达支援力量</w:t>
            </w:r>
          </w:p>
        </w:tc>
      </w:tr>
      <w:tr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主要作战样式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超视距空战、预警引导、电子对抗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复盘重点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态势感知、信息协同、攻防转换</w:t>
            </w:r>
          </w:p>
        </w:tc>
      </w:tr>
      <w:tr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行动结果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印方编队退出主要交战区域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  <w:shd w:fill="DCE6F1"/>
          </w:tcPr>
          <w:p>
            <w:pPr>
              <w:jc w:val="center"/>
            </w:pPr>
            <w:r/>
            <w:r>
              <w:rPr>
                <w:rFonts w:ascii="Times New Roman" w:hAnsi="Times New Roman" w:eastAsia="黑体"/>
                <w:b/>
                <w:sz w:val="21"/>
              </w:rPr>
              <w:t>战果状态</w:t>
            </w:r>
          </w:p>
        </w:tc>
        <w:tc>
          <w:tcPr>
            <w:tcW w:type="dxa" w:w="2323"/>
            <w:vAlign w:val="center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left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已形成初步判断，具体数量继续核定</w:t>
            </w:r>
          </w:p>
        </w:tc>
      </w:tr>
    </w:tbl>
    <w:p>
      <w:pPr>
        <w:pStyle w:val="Heading1"/>
        <w:spacing w:before="240" w:after="80"/>
      </w:pPr>
      <w:r>
        <w:t>二、行动概况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2025年5月7日，印巴边境地区空中态势迅速升温。印方从阿达姆普尔、安巴拉等基地分批出动苏-30MKI和阵风战斗机，并在预警机支援下向边境方向展开。巴方在发现印方航空兵活动后，从米纳斯、拉菲基等基地紧急起飞JF-17战斗机，在空中预警和地面雷达引导下前出拦截。双方兵力在边境附近空域形成对峙，行动由常态警戒快速转入超视距空中交锋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交锋初期，印方依托预警机和数据链建立目标跟踪，由前线战机实施远程导弹攻击。巴方发现来袭威胁后组织规避和拦截，并持续依靠预警机、地面雷达与前线战机之间的信息协同掌握态势。随着双方兵力进一步接近，交战空域进入强电子对抗状态，雷达探测、通信和战术数据传输均受到不同程度影响。巴方在恢复目标跟踪后组织反击，印方编队随即退出主要交战区域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综合行动过程，巴方完成了由预警、拦截到反击的连续转换，并在局部空域取得主动。印方首轮远程攻击未形成持续压制，在信息链路受扰和局部战损出现后转入撤离。行动结束后，双方分别组织返航、装备检查和战果核定。</w:t>
      </w:r>
    </w:p>
    <w:p>
      <w:pPr>
        <w:pStyle w:val="Heading1"/>
        <w:spacing w:before="240" w:after="80"/>
      </w:pPr>
      <w:r>
        <w:t>三、战前态势与兵力部署</w:t>
      </w:r>
    </w:p>
    <w:p>
      <w:pPr>
        <w:pStyle w:val="Heading2"/>
        <w:spacing w:before="140" w:after="40"/>
      </w:pPr>
      <w:r>
        <w:t>（一）印方部署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印方以苏-30MKI和阵风战斗机为主要前线作战力量，由后方预警平台提供目标发现、持续跟踪和空情分发支援。行动编组采取分批出动方式，第一梯队承担前出侦察和远程攻击任务，后续编队负责保持空中压力并根据态势变化实施增援。</w:t>
      </w:r>
    </w:p>
    <w:p>
      <w:pPr>
        <w:pStyle w:val="Heading2"/>
        <w:spacing w:before="140" w:after="40"/>
      </w:pPr>
      <w:r>
        <w:t>（二）巴方部署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巴方以JF-17战斗机承担主要拦截和反击任务，空中预警机与地面雷达共同构成态势感知体系。前线编队在接到预警后向预定空域机动，重点保持对印方前出方向的连续监视，并预留后续反击空间。</w:t>
      </w:r>
    </w:p>
    <w:p>
      <w:pPr>
        <w:pStyle w:val="Heading2"/>
        <w:spacing w:before="140" w:after="40"/>
      </w:pPr>
      <w:r>
        <w:t>（三）主要态势特点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双方均将预警平台和数据链作为超视距交战的重要支撑，前线战机对后方空情保障依赖明显。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交战区域靠近边境，双方均需兼顾战术追击与行动升级风险，撤离界限和追击范围受到严格约束。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电子干扰对目标跟踪、通信和武器使用链路具有直接影响，信息链稳定性成为决定攻防转换速度的关键因素。</w:t>
      </w:r>
    </w:p>
    <w:p>
      <w:pPr>
        <w:pStyle w:val="Heading1"/>
        <w:spacing w:before="240" w:after="80"/>
      </w:pPr>
      <w:r>
        <w:t>四、行动经过</w:t>
      </w:r>
    </w:p>
    <w:p>
      <w:pPr>
        <w:pStyle w:val="Heading2"/>
        <w:spacing w:before="140" w:after="40"/>
      </w:pPr>
      <w:r>
        <w:t>（一）双方兵力展开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行动开始后，印方多个航空兵基地先后进入出动状态。苏-30MKI编队率先升空，阵风战斗机随后完成准备并向边境方向集结。印方通过分批出动形成前后衔接的空中梯队，试图在边境空域维持持续压力。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巴方在发现印方编队活动后，立即组织前线航空兵升空。JF-17编队在预警机和地面雷达引导下向预定拦截空域机动。随着双方编队距离缩短，边境附近空域由常态警戒转为高强度对峙。</w:t>
      </w:r>
    </w:p>
    <w:p>
      <w:pPr>
        <w:pStyle w:val="Heading2"/>
        <w:spacing w:before="140" w:after="40"/>
      </w:pPr>
      <w:r>
        <w:t>（二）印方实施首轮远程攻击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印方预警机首先对巴方前线战机建立跟踪，并将目标方位和运动趋势通过数据链发送至苏-30MKI编队。前线战机接收目标信息后完成武器准备，对巴方拦截力量实施超视距攻击。首轮导弹发射标志着双方由空中对峙进入实质性交锋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印方首轮攻击主要依赖后方预警平台与前线战机之间的协同。预警机承担目标发现和持续跟踪，前线战机负责武器发射，形成了较为完整的远程攻击链。</w:t>
      </w:r>
    </w:p>
    <w:p>
      <w:pPr>
        <w:pStyle w:val="Heading2"/>
        <w:spacing w:before="140" w:after="40"/>
      </w:pPr>
      <w:r>
        <w:t>（三）巴方组织预警与拦截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巴方预警力量发现来袭导弹后，立即向前线战机发布威胁信息。相关编队根据预警调整航向和队形，并采取电子对抗和导弹拦截措施。来袭目标在接近过程中受到阻断，印方首轮攻击未能形成持续性压制。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首轮交锋结束后，印方后续编队继续向边境附近空域靠近，巴方拦截力量则保持警戒并重新组织态势。空中对抗由单次导弹交换转入预警、通信、电子对抗和远程武器协同并行的体系对抗阶段。</w:t>
      </w:r>
    </w:p>
    <w:p>
      <w:pPr>
        <w:pStyle w:val="Heading2"/>
        <w:spacing w:before="140" w:after="40"/>
      </w:pPr>
      <w:r>
        <w:t>（四）电子对抗导致态势变化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随着双方编队进一步接近，交战空域内的电子干扰强度明显上升。雷达探测、通信链路和战术数据传输均受到影响，部分前线战机出现目标信息不稳定和链路间断情况。双方均需要通过预警平台、地面雷达和备用通信手段重新建立态势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持续调整后，巴方预警机重新建立对印方编队的跟踪，并将更新后的目标信息发送给前线JF-17战机。巴方由被动规避转为重新掌握目标，具备了组织反击的条件。</w:t>
      </w:r>
    </w:p>
    <w:p>
      <w:pPr>
        <w:pStyle w:val="Heading2"/>
        <w:spacing w:before="140" w:after="40"/>
      </w:pPr>
      <w:r>
        <w:t>（五）巴方反击与印方撤离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获得目标信息后，巴方JF-17编队对印方战机实施超视距反击。导弹发射后，印方编队进入紧急规避状态，其中一架阵风战机失去继续执行任务的能力。局部空中态势随之发生变化，印方其余战机开始转向本方一侧撤离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巴方战机对撤离目标实施短距离跟踪，在确认印方编队退出主要交战区域后停止追击，并转入空域警戒和返航。撤离过程中，一架受损的印方苏-30MKI实施紧急迫降，其余印方战机陆续退出交战空域。</w:t>
      </w:r>
    </w:p>
    <w:p>
      <w:pPr>
        <w:pStyle w:val="Heading2"/>
        <w:spacing w:before="140" w:after="40"/>
      </w:pPr>
      <w:r>
        <w:t>（六）返航与行动终止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巴方参战飞机在完成警戒任务后陆续返回基地，地勤人员随即开展外观、动力和航电系统检查。随着双方战机退出主要交战区域，边境空中对抗基本结束，后续工作转入战果核定、装备检查和行动复盘。</w:t>
      </w:r>
    </w:p>
    <w:p>
      <w:pPr>
        <w:pStyle w:val="Heading1"/>
        <w:spacing w:before="240" w:after="80"/>
      </w:pPr>
      <w:r>
        <w:t>五、战果与损耗评估</w:t>
      </w:r>
    </w:p>
    <w:p>
      <w:pPr>
        <w:pStyle w:val="Heading2"/>
        <w:spacing w:before="140" w:after="40"/>
      </w:pPr>
      <w:r>
        <w:t>（一）行动结果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巴方完成对印方首轮远程攻击的预警和阻断，保持了前线拦截力量的持续作战能力。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巴方在电子干扰条件下重新建立目标跟踪，并完成由防御向反击的转换。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印方编队在局部战损和信息链路受扰后退出主要交战区域，未能形成持续性空中压制。</w:t>
      </w:r>
    </w:p>
    <w:p>
      <w:pPr>
        <w:pStyle w:val="Heading2"/>
        <w:spacing w:before="140" w:after="40"/>
      </w:pPr>
      <w:r>
        <w:t>（二）装备损耗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现有记录显示，一架印方阵风战机在巴方反击后失去继续执行任务的能力，一架苏-30MKI在撤离阶段受损并实施紧急迫降。巴方参战飞机完成返航，具体装备受损情况需结合返航检查结果继续核定。</w:t>
      </w:r>
    </w:p>
    <w:p>
      <w:pPr>
        <w:pStyle w:val="Heading2"/>
        <w:spacing w:before="140" w:after="40"/>
      </w:pPr>
      <w:r>
        <w:t>（三）战果核定状态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双方实际出动架次、导弹发射数量、具体命中结果及装备损伤程度尚需结合飞行记录、雷达航迹、武器使用记录和返航检查结果统一核定。现阶段以行动过程和态势结果为主要复盘依据，不对未完成核定的数量作扩大解释。</w:t>
      </w:r>
    </w:p>
    <w:p>
      <w:pPr>
        <w:pStyle w:val="Heading1"/>
        <w:spacing w:before="240" w:after="80"/>
      </w:pPr>
      <w:r>
        <w:t>六、作战特点与经验</w:t>
      </w:r>
    </w:p>
    <w:p>
      <w:pPr>
        <w:pStyle w:val="Heading2"/>
        <w:spacing w:before="140" w:after="40"/>
      </w:pPr>
      <w:r>
        <w:t>（一）预警平台决定远程交战起点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双方首轮攻击和后续反击均建立在预警平台提供的目标信息基础上。预警机不仅承担目标发现任务，还负责持续跟踪、威胁通报和前线战机引导，是超视距空战中维持攻击链完整性的关键节点。</w:t>
      </w:r>
    </w:p>
    <w:p>
      <w:pPr>
        <w:pStyle w:val="Heading2"/>
        <w:spacing w:before="140" w:after="40"/>
      </w:pPr>
      <w:r>
        <w:t>（二）数据链稳定性直接影响攻防转换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电子干扰条件下，前线战机能否持续获得可靠目标信息，直接决定其能否保持武器使用条件。巴方在链路受扰后较快恢复目标跟踪，是其完成反击的重要基础。</w:t>
      </w:r>
    </w:p>
    <w:p>
      <w:pPr>
        <w:pStyle w:val="Heading2"/>
        <w:spacing w:before="140" w:after="40"/>
      </w:pPr>
      <w:r>
        <w:t>（三）体系协同比单机性能更具决定性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行动表明，单架战机的雷达和武器性能只是整体作战能力的一部分。预警机、地面雷达、战术数据链、电子对抗力量和前线战机之间的协同效率，共同决定目标发现、信息传递、武器发射和态势恢复速度。</w:t>
      </w:r>
    </w:p>
    <w:p>
      <w:pPr>
        <w:pStyle w:val="Heading2"/>
        <w:spacing w:before="140" w:after="40"/>
      </w:pPr>
      <w:r>
        <w:t>（四）追击控制避免行动进一步升级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巴方在印方编队退出主要交战区域后停止追击，说明边境空中行动既要争取战术主动，也要严格控制追击范围和行动强度，避免局部交锋演变为更大范围的持续冲突。</w:t>
      </w:r>
    </w:p>
    <w:p>
      <w:pPr>
        <w:pStyle w:val="Heading1"/>
        <w:spacing w:before="240" w:after="80"/>
      </w:pPr>
      <w:r>
        <w:t>七、暴露问题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交战初期对多批次目标的识别和编组判断仍不够稳定，容易出现重复跟踪或目标优先级调整滞后。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强电子干扰条件下，部分链路出现中断，备用通信与数据转发能力仍需加强。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前线战机对预警平台依赖较高，一旦后方信息支援受限，单机自主态势判断能力可能快速下降。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导弹拦截、规避和反击动作之间的协同节奏需要进一步细化，以减少重复处置和武器资源消耗。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战果确认主要依赖多源记录事后汇总，实时毁伤评估和统一战果核定机制仍需完善。</w:t>
      </w:r>
    </w:p>
    <w:p>
      <w:pPr>
        <w:pStyle w:val="Heading1"/>
        <w:spacing w:before="240" w:after="80"/>
      </w:pPr>
      <w:r>
        <w:t>八、改进建议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完善预警机、地面雷达和前线战机之间的多源空情融合机制，统一目标编号和威胁优先级。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加强抗干扰数据链和备用通信手段建设，提高主链路受扰后的快速恢复能力。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强化前线战机在链路中断条件下的自主目标判断、编队协同和任务重构训练。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优化超视距攻击、导弹拦截和电子对抗之间的时间协同，建立更明确的武器使用和退出条件。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建立统一的战果评估流程，综合雷达航迹、武器记录、飞行员报告和返航检查结果，提高战损判定的一致性。</w:t>
      </w:r>
    </w:p>
    <w:p>
      <w:pPr>
        <w:pStyle w:val="ListBullet"/>
        <w:spacing w:after="40" w:line="336" w:lineRule="auto"/>
        <w:ind w:left="454" w:hanging="198"/>
      </w:pPr>
      <w:r>
        <w:rPr>
          <w:rFonts w:ascii="Times New Roman" w:hAnsi="Times New Roman" w:eastAsia="宋体"/>
          <w:b w:val="0"/>
          <w:sz w:val="23"/>
        </w:rPr>
        <w:t>细化边境空中行动追击界限、返航条件和紧急迫降预案，确保战术行动与风险控制同步实施。</w:t>
      </w:r>
    </w:p>
    <w:p>
      <w:pPr>
        <w:pStyle w:val="Heading1"/>
        <w:spacing w:before="240" w:after="80"/>
      </w:pPr>
      <w:r>
        <w:t>九、复盘结论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本次行动是一场以预警探测、数据链协同、超视距武器使用和电子对抗为主要特征的边境空中交锋。印方率先建立远程攻击链并实施首轮攻击，巴方通过预警、拦截和态势恢复保持了前线作战能力，并在重新获得目标信息后完成反击。印方在局部战损和信息链路受扰后撤出主要交战区域，巴方取得局部战术主动。</w:t>
      </w:r>
    </w:p>
    <w:p>
      <w:pPr>
        <w:spacing w:before="0" w:after="40" w:line="360" w:lineRule="auto"/>
        <w:ind w:firstLine="420"/>
        <w:jc w:val="both"/>
      </w:pPr>
      <w:r>
        <w:rPr>
          <w:rFonts w:ascii="Times New Roman" w:hAnsi="Times New Roman" w:eastAsia="宋体"/>
          <w:b w:val="0"/>
          <w:sz w:val="24"/>
        </w:rPr>
        <w:t>行动进一步表明，现代空战的胜负不再单纯取决于某一型号战机或某一种武器，而取决于预警、探测、通信、电子对抗、武器使用和指挥控制能否形成稳定闭环。后续训练和建设应重点提升强干扰条件下的信息恢复能力、多平台协同能力以及战果快速核定能力。</w:t>
      </w:r>
    </w:p>
    <w:p>
      <w:pPr>
        <w:pStyle w:val="Heading1"/>
        <w:spacing w:before="240" w:after="80"/>
      </w:pPr>
      <w:r>
        <w:t>附录：行动阶段摘要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232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阶段</w:t>
            </w:r>
          </w:p>
        </w:tc>
        <w:tc>
          <w:tcPr>
            <w:tcW w:type="dxa" w:w="232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主要行动</w:t>
            </w:r>
          </w:p>
        </w:tc>
        <w:tc>
          <w:tcPr>
            <w:tcW w:type="dxa" w:w="232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态势变化</w:t>
            </w:r>
          </w:p>
        </w:tc>
        <w:tc>
          <w:tcPr>
            <w:tcW w:type="dxa" w:w="2323"/>
            <w:shd w:fill="DCE6F1"/>
            <w:tcMar>
              <w:top w:w="90" w:type="dxa"/>
              <w:start w:w="110" w:type="dxa"/>
              <w:bottom w:w="90" w:type="dxa"/>
              <w:end w:w="11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黑体"/>
                <w:b/>
                <w:sz w:val="21"/>
              </w:rPr>
              <w:t>复盘关注点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兵力展开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双方战机从后方基地升空并向边境集结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常态警戒转为高强度对峙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编队组织与预警响应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首轮攻击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印方预警机引导苏-30MKI实施远程攻击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双方进入实质性交锋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目标链建立与武器使用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防御拦截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巴方发布威胁预警并组织规避、拦截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印方首轮攻击未形成持续压制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预警速度与拦截协同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电子对抗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双方雷达、通信和数据链受到干扰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态势感知能力出现差异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抗干扰与链路恢复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反击撤离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巴方JF-17实施反击，印方编队撤离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巴方取得局部主动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攻防转换与退出控制</w:t>
            </w:r>
          </w:p>
        </w:tc>
      </w:tr>
      <w:tr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返航总结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双方退出主要交战区域并开展检查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行动转入战果核定与复盘</w:t>
            </w:r>
          </w:p>
        </w:tc>
        <w:tc>
          <w:tcPr>
            <w:tcW w:type="dxa" w:w="2323"/>
            <w:tcMar>
              <w:top w:w="90" w:type="dxa"/>
              <w:start w:w="110" w:type="dxa"/>
              <w:bottom w:w="90" w:type="dxa"/>
              <w:end w:w="110" w:type="dxa"/>
            </w:tcMar>
            <w:vAlign w:val="center"/>
          </w:tcPr>
          <w:p>
            <w:pPr>
              <w:jc w:val="left"/>
            </w:pPr>
            <w:r>
              <w:rPr>
                <w:rFonts w:ascii="Times New Roman" w:hAnsi="Times New Roman" w:eastAsia="宋体"/>
                <w:b w:val="0"/>
                <w:sz w:val="20"/>
              </w:rPr>
              <w:t>装备检查与战果评估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361" w:right="1417" w:bottom="1247" w:left="1531" w:header="567" w:footer="567" w:gutter="0"/>
      <w:cols w:space="720"/>
      <w:titlePg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646464"/>
        <w:sz w:val="18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宋体"/>
        <w:b w:val="0"/>
        <w:color w:val="7D7D7D"/>
        <w:sz w:val="18"/>
      </w:rPr>
      <w:t>印巴边境空中对抗行动战后复盘报告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263D5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4860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黑体"/>
      <w:b/>
      <w:color w:val="263D56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印巴边境空中对抗行动战后复盘报告</dc:title>
  <dc:subject>战后复盘</dc:subject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