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1D4ED8"/>
          <w:sz w:val="30"/>
          <w:szCs w:val="30"/>
        </w:rPr>
        <w:t xml:space="preserve">小学语文教学设计</w:t>
      </w:r>
    </w:p>
    <w:p>
      <w:pPr>
        <w:spacing w:after="60"/>
        <w:jc w:val="center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统编版三年级上册 第一单元 第3课《不懂就要问》（略读）</w:t>
      </w:r>
    </w:p>
    <w:p>
      <w:pPr>
        <w:spacing w:after="200"/>
        <w:jc w:val="center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广州市增城区 ＿＿＿＿ 小学　　执教：＿＿＿＿　　班级：三年级（　）班　　课时：1 课时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一、基本信息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3* 不懂就要问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课型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略读（记叙文）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1 课时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本册第 3 课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第一单元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人文主题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学校生活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语文要素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阅读时关注有新鲜感的词句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执教年级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三年级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授课时间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＿＿月＿＿日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教学地点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＿＿＿教室（配一体机）</w:t>
            </w:r>
          </w:p>
        </w:tc>
        <w:tc>
          <w:tcPr>
            <w:tcW w:type="dxa" w:w="1474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二、教材与学情分析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（一）教材分析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《不懂就要问》是第一单元的略读课文，讲述了孙中山小时候在私塾读书，为了弄懂书中的意思，不怕挨打、大胆向先生提问的故事。课文按事情发展顺序展开：先生只念不讲 — 孙中山背诵后提出疑问 — 同学们吓呆、课堂鸦雀无声 — 先生破例讲解 — 孙中山说明「学问学问，不懂就要问」。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作为略读课文，它是前两篇精读课文的迁移运用场：学生要运用在《大青树下的小学》《花的学校》中学到的「关注有新鲜感词句」的方法自主阅读，同时通过人物的语言、心理体会孙中山勤学好问的品质。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（二）学情分析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三年级学生已具备初步的默读能力，能大致讲出故事内容，但概括时常常混入细节、抓不住主线；他们对「私塾」「戒尺」「先生」等旧式学堂事物缺乏直观经验，需要借助图片或简短介绍来补白。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增城的学生在荔城、新塘等地的现代化学校就读，对「先生只念不讲」的教学方式既陌生又好奇，恰好可以形成对比：一百多年前的课堂和今天的课堂有什么不一样？从而更深刻地体会「不懂就要问」的价值。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三、教学目标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3153"/>
        <w:gridCol w:w="3439"/>
        <w:gridCol w:w="2006"/>
      </w:tblGrid>
      <w:tr>
        <w:trPr>
          <w:tblHeader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维度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目标内容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具体表现（可观测）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对应环节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识字与阅读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认识「诵、例、圈、段、糊、涂、呆、戒、厉、楚」等生字；读准多音字「背、圈」；理解「私塾、鸦雀无声、一字不漏、糊里糊涂」等词语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能正确认读生字，据词定音读准多音字；能用自己的话说出「鸦雀无声」的意思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词句闯关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整体把握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默读课文，能按「先……接着……最后……」的顺序讲清故事主要内容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能把故事讲完整、讲简洁，不混入无关细节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自主阅读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语言赏析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找出课文中「有新鲜感的词句」，说出新鲜在哪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能举出 2—3 处例子，说出用词或写法上的妙处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品读感悟</w:t>
            </w:r>
          </w:p>
        </w:tc>
      </w:tr>
      <w:tr>
        <w:trPr>
          <w:tblHeader w:val="false"/>
        </w:trPr>
        <w:tc>
          <w:tcPr>
            <w:tcW w:type="dxa" w:w="172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情感与运用</w:t>
            </w:r>
          </w:p>
        </w:tc>
        <w:tc>
          <w:tcPr>
            <w:tcW w:type="dxa" w:w="315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体会孙中山勤学好问、敢于提问的品质，懂得「学问学问，不懂就要问」的道理</w:t>
            </w:r>
          </w:p>
        </w:tc>
        <w:tc>
          <w:tcPr>
            <w:tcW w:type="dxa" w:w="34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能联系自己谈一次「不懂就问」的经历，写出 3—5 句话</w:t>
            </w:r>
          </w:p>
        </w:tc>
        <w:tc>
          <w:tcPr>
            <w:tcW w:type="dxa" w:w="200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品读、作业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四、教学重难点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（一）教学重点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默读课文，按事情发展顺序讲清孙中山小时候是怎样求学的；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联系上下文理解「鸦雀无声、一字不漏、糊里糊涂」等词语，感受有新鲜感的词句。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（二）教学难点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体会孙中山「壮着胆子」提问时的心理，理解他为什么宁可挨打也要问；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从「读懂道理」走向「愿意提问」，在真实课堂中敢于提出自己的疑问。</w:t>
      </w:r>
    </w:p>
    <w:p>
      <w:pPr>
        <w:spacing w:after="100" w:before="200"/>
      </w:pPr>
      <w:r>
        <w:rPr>
          <w:rFonts w:ascii="Times New Roman" w:cs="Times New Roman" w:eastAsia="黑体" w:hAnsi="Times New Roman"/>
          <w:b/>
          <w:bCs/>
          <w:color w:val="0F172A"/>
          <w:sz w:val="22"/>
          <w:szCs w:val="22"/>
        </w:rPr>
        <w:t xml:space="preserve">（三）突破策略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以「先生只念不讲，你赞成吗」为核心问题制造认知冲突；用「精读—略读」对比明确略读要求；借助课件转盘、随机点名、积分榜等互动工具维持参与热情；用「先……接着……最后……」搭建概括支架。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五、教学准备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739"/>
      </w:tblGrid>
      <w:tr>
        <w:trPr>
          <w:tblHeader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① 互动课件《3* 不懂就要问》（含点名签到页、略读提示页、词句闯关页、幸运大转盘页、小组星光积分榜页）；② 课堂互动工具网页（签到墙／转盘／随机点名／计时器／积分榜）；③ 私塾、戒尺、线装书等图片资料；④ 增城本地学校课堂照片（用于今昔对比）。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学生准备</w:t>
            </w:r>
          </w:p>
        </w:tc>
        <w:tc>
          <w:tcPr>
            <w:tcW w:type="dxa" w:w="7739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① 预习课文，圈出生字词并读两遍；② 回想一次自己「听不懂却没敢问」的经历；③ 积累本。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六、教学过程（1 课时 · 40 分钟）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6"/>
        <w:gridCol w:w="2916"/>
        <w:gridCol w:w="2467"/>
        <w:gridCol w:w="2692"/>
        <w:gridCol w:w="897"/>
      </w:tblGrid>
      <w:tr>
        <w:trPr>
          <w:tblHeader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环节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教师活动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学生活动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设计意图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时间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一、点名签到·导入明标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播放课件「上课啦·点名签到」页，宣布规则：听到名字大声答「到」，再说一个勤学的词语（如「勤学好问」「不耻下问」），答完为本组贴一颗小星。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师：读书时遇到不懂的地方，你会怎么做？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 1 名「今日小主播」说说自己的经历。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揭示课题，说明这是略读课文：靠自己读，用上学过的方法。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起立答「到」并说词语；举手补充；小主播发言；齐读课题，明确略读要求。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用签到卷入全体，词语积累与话题预热同时完成；明确略读课的学习定位。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二、自主阅读·读懂故事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出示略读提示：默读课文，读准字音，读通句子，想一想课文讲了一件什么事。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提出核心问题：孙中山为什么宁可挨打也要问？带着问题再读一遍。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巡视指导，重点听「诵、例、圈、段」的读音，点拨「私塾、戒尺」的意思。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组织交流：用「先……接着……最后……」说说孙中山做了什么。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默读两遍并圈画关键信息；同桌互说故事大意；全班交流，用句式支架完整讲述。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落实略读课文「粗知大意」的要求；用支架帮助学生把故事讲完整、讲简洁。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12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三、词句闯关·扫清障碍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读准音：诵 sòng、例 lì、圈 quān、段 duàn、糊 hú；多音字 背 bèi／bēi、圈 quān／juàn。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认清形：「楚」上林下疋；「厉」与「历」区分。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理解义：私塾（旧时私人办的学堂）、鸦雀无声（非常安静）、一字不漏（一个字也不漏掉）。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引导学生联系上下文理解，不孤立解词。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认读生字，据词定音；书空易错字；用词语说一句话。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音形义三位一体，联系语境理解词语，避免死记硬背。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7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四、品读感悟·体会品质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主问题：读第 2、3 段，画出描写孙中山心理和语言的句子。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重点句：「这样糊里糊涂地背，有什么用呢？」「先生，您刚才让我背的这段书是什么意思？请您给我讲讲吧！」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讨论：从「壮着胆子」你体会到什么？他问的话里，哪些词显得有礼貌？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3. 聚焦新鲜感词句：「课堂里霎时变得鸦雀无声」，与「大家很吃惊」比较，哪一种更好？为什么？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4. 小结：孙中山勤学好问、有礼貌、有勇气。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默读圈画，同桌交流；全班汇报，用「从＿＿看出孙中山＿＿」的句式说；比较两种写法并说明理由。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落实单元语文要素，把语感上升为可表达的知识；通过人物语言体会品质。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10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五、转盘互动·朗读展示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切换到「幸运大转盘」页，转动抽出朗读小组：第①组读第 1 段，第②组读第 2、3 段，第③组读第 4 段，第④组读第 5—7 段。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评价标准：正确 1★，流利 1★，读出人物语气再 1★。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被抽中的小组起立朗读；其余学生当小评委举牌给星。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用随机机制保证人人参与，把朗读训练游戏化。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4 分钟</w:t>
            </w:r>
          </w:p>
        </w:tc>
      </w:tr>
      <w:tr>
        <w:trPr>
          <w:tblHeader w:val="false"/>
        </w:trPr>
        <w:tc>
          <w:tcPr>
            <w:tcW w:type="dxa" w:w="134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六、小结作业·落实行动</w:t>
            </w:r>
          </w:p>
        </w:tc>
        <w:tc>
          <w:tcPr>
            <w:tcW w:type="dxa" w:w="291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1. 小结：学问学问，不懂就要问。今天的课堂比一百年前的私塾好在哪？——好在你们可以随时提问。</w:t>
            </w:r>
          </w:p>
          <w:p>
            <w:pPr>
              <w:spacing w:after="0" w:before="3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2. 作业：基础——抄写生字每字 2 遍，把故事讲给家人听；挑战——写一次自己「不懂就问」的经历，3—5 句话。</w:t>
            </w:r>
          </w:p>
        </w:tc>
        <w:tc>
          <w:tcPr>
            <w:tcW w:type="dxa" w:w="246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回顾收获，把找到的词句抄进积累本；记录作业；说说自己打算怎么做。</w:t>
            </w:r>
          </w:p>
        </w:tc>
        <w:tc>
          <w:tcPr>
            <w:tcW w:type="dxa" w:w="2692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由文及己，把道理转化为行动，体现略读课文的育人价值。</w:t>
            </w:r>
          </w:p>
        </w:tc>
        <w:tc>
          <w:tcPr>
            <w:tcW w:type="dxa" w:w="89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七、板书设计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　3*　不懂就要问（略读）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先生只念不讲　→　背诵　→　壮着胆子提问　→　先生讲解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　　　　　↓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　　　学问学问，不懂就要问</w:t>
      </w:r>
    </w:p>
    <w:p>
      <w:pPr>
        <w:spacing w:after="60" w:before="80" w:line="30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　　　　　　　写法：鸦雀无声（具体的词写抽象的感受）</w:t>
      </w:r>
    </w:p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八、互动环节操作说明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3661"/>
        <w:gridCol w:w="4826"/>
      </w:tblGrid>
      <w:tr>
        <w:trPr>
          <w:tblHeader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互动项目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操作方式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教学用法与评价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点名签到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3 页：点到名字大声答「到」并说一个词语，答完为本组贴标志。也可用互动网页的签到墙，点击姓名方块切换「到／迟到／请假」。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3 分钟完成全员点名与词语积累；答到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幸运大转盘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11 页点击转盘转动，或用互动网页「🎡 幸运大转盘」；转盘内容可在网页里改为学生姓名、展示任务或奖励名称。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随机抽组展示，人人有机会；正确流利 +2★。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随机点名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互动网页「🎯 随机点名」，滚动后停止抽 1 人，已抽中的不再重复，可一键重置。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用于提问与展示，兼顾公平；答对 +1★。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课堂计时器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互动网页「⏱ 课堂计时器」，可一键设 1／3／5 分钟，用于朗读、练笔与小组讨论。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培养时间观念，保证课堂节奏。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小组星光积分榜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课件第 12 页与互动网页「⭐ 小组星光积分榜」同步使用，四组实时加减星，下课前评出「今日星光小组」。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规则前置，按本页说明的五项标准给星。</w:t>
            </w:r>
          </w:p>
        </w:tc>
      </w:tr>
      <w:tr>
        <w:trPr>
          <w:tblHeader w:val="false"/>
        </w:trPr>
        <w:tc>
          <w:tcPr>
            <w:tcW w:type="dxa" w:w="183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抽奖与奖励</w:t>
            </w:r>
          </w:p>
        </w:tc>
        <w:tc>
          <w:tcPr>
            <w:tcW w:type="dxa" w:w="3661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把转盘内容换成奖励名称（如「免写一次抄写」「当一天领读员」），即可作为课堂抽奖使用。</w:t>
            </w:r>
          </w:p>
        </w:tc>
        <w:tc>
          <w:tcPr>
            <w:tcW w:type="dxa" w:w="4826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建议每周使用 1—2 次，避免奖励依赖。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九、作业设计与评价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3"/>
        <w:gridCol w:w="5058"/>
        <w:gridCol w:w="3237"/>
      </w:tblGrid>
      <w:tr>
        <w:trPr>
          <w:tblHeader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类型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内容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DBEA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/>
                <w:bCs/>
                <w:color w:val="1D4ED8"/>
                <w:sz w:val="18"/>
                <w:szCs w:val="18"/>
              </w:rPr>
              <w:t xml:space="preserve">评价标准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基础作业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抄写本课生字，每字 2 遍；把这个故事讲给家人听。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书写规范得 ★★；讲故事完整、有顺序得 ★★★。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挑战作业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写一次自己「不懂就问」的经历，3—5 句话，写出心里的想法。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shd w:fill="F4F7F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写清经过 1★，写出心理活动 2★，语句通顺 2★。</w:t>
            </w:r>
          </w:p>
        </w:tc>
      </w:tr>
      <w:tr>
        <w:trPr>
          <w:tblHeader w:val="false"/>
        </w:trPr>
        <w:tc>
          <w:tcPr>
            <w:tcW w:type="dxa" w:w="2023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实践作业</w:t>
            </w:r>
          </w:p>
        </w:tc>
        <w:tc>
          <w:tcPr>
            <w:tcW w:type="dxa" w:w="5058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本周在课堂上至少主动提问 1 次，记录下问题和答案。</w:t>
            </w:r>
          </w:p>
        </w:tc>
        <w:tc>
          <w:tcPr>
            <w:tcW w:type="dxa" w:w="3237"/>
            <w:tcBorders>
              <w:top w:val="single" w:color="BFDBFE" w:sz="2"/>
              <w:left w:val="single" w:color="BFDBFE" w:sz="2"/>
              <w:bottom w:val="single" w:color="BFDBFE" w:sz="2"/>
              <w:right w:val="single" w:color="BFDBFE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0F172A"/>
                <w:sz w:val="18"/>
                <w:szCs w:val="18"/>
              </w:rPr>
              <w:t xml:space="preserve">真实提问并记录下来即可得 ★★★。</w:t>
            </w:r>
          </w:p>
        </w:tc>
      </w:tr>
    </w:tbl>
    <w:p>
      <w:pPr>
        <w:pBdr>
          <w:bottom w:val="single" w:color="1D4ED8" w:sz="6" w:space="4"/>
        </w:pBdr>
        <w:spacing w:after="160" w:before="300"/>
      </w:pPr>
      <w:r>
        <w:rPr>
          <w:rFonts w:ascii="Times New Roman" w:cs="Times New Roman" w:eastAsia="黑体" w:hAnsi="Times New Roman"/>
          <w:b/>
          <w:bCs/>
          <w:color w:val="1D4ED8"/>
          <w:sz w:val="26"/>
          <w:szCs w:val="26"/>
        </w:rPr>
        <w:t xml:space="preserve">十、教学反思（课后填写）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1. 学生能否用「先……接着……最后……」讲清故事？概括时还存在哪些问题？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2. 学生对「私塾」「戒尺」等事物的理解是否需要更多补白资料？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3. 「鸦雀无声」等词句的比较是否帮助学生建立了「新鲜感」的判断标准？</w:t>
      </w:r>
    </w:p>
    <w:p>
      <w:pPr>
        <w:spacing w:after="60" w:before="60" w:line="300"/>
        <w:ind w:firstLine="42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21"/>
          <w:szCs w:val="21"/>
        </w:rPr>
        <w:t xml:space="preserve">4. 转盘、随机点名等互动工具的时间是否可控，参与度如何？</w:t>
      </w:r>
    </w:p>
    <w:p>
      <w:pPr>
        <w:spacing w:before="240"/>
      </w:pPr>
      <w:r>
        <w:rPr>
          <w:rFonts w:ascii="Times New Roman" w:cs="Times New Roman" w:eastAsia="宋体" w:hAnsi="Times New Roman"/>
          <w:b w:val="false"/>
          <w:bCs w:val="false"/>
          <w:color w:val="0F172A"/>
          <w:sz w:val="18"/>
          <w:szCs w:val="18"/>
        </w:rPr>
        <w:t xml:space="preserve">　　　　　　　　　　　　　　　　　　　　　　　　　　　　　执教者签名：＿＿＿＿　　日期：＿＿＿＿</w:t>
      </w:r>
    </w:p>
    <w:sectPr>
      <w:pgSz w:w="11906" w:h="16838" w:orient="portrait"/>
      <w:pgMar w:top="850" w:right="794" w:bottom="8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2026-09-10T17:31:55.979Z</dcterms:created>
  <dcterms:modified xsi:type="dcterms:W3CDTF">2026-09-10T17:31:55.979Z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