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5B5CE">
      <w:pPr>
        <w:jc w:val="center"/>
      </w:pPr>
      <w:r>
        <w:drawing>
          <wp:inline distT="0" distB="0" distL="0" distR="0">
            <wp:extent cx="4421505" cy="7255510"/>
            <wp:effectExtent l="0" t="0" r="7620" b="2540"/>
            <wp:docPr id="6945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389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505" cy="725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2742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val="en-US" w:eastAsia="zh-CN"/>
        </w:rPr>
        <w:t>1</w:t>
      </w:r>
      <w:bookmarkStart w:id="0" w:name="_GoBack"/>
      <w:bookmarkEnd w:id="0"/>
      <w:r>
        <w:rPr>
          <w:rFonts w:ascii="Times New Roman" w:hAnsi="Times New Roman" w:eastAsia="等线" w:cs="Times New Roman"/>
          <w:b/>
          <w:bCs/>
          <w:sz w:val="22"/>
          <w:szCs w:val="22"/>
        </w:rPr>
        <w:t>. Manhattan plots for GWAS of alzheimer disease in the UK Biobank data with White British ancestry</w:t>
      </w:r>
    </w:p>
    <w:p w14:paraId="42486FA8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14:ligatures w14:val="none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</w:rPr>
        <w:t xml:space="preserve">GWAS results using (A) Cox-MK and (B) SPACox are shown for </w:t>
      </w: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alzheimer disease</w:t>
      </w:r>
      <w:r>
        <w:rPr>
          <w:rFonts w:ascii="Times New Roman" w:hAnsi="Times New Roman" w:eastAsia="等线" w:cs="Times New Roman"/>
          <w:sz w:val="22"/>
          <w:szCs w:val="22"/>
        </w:rPr>
        <w:t xml:space="preserve">. </w:t>
      </w:r>
    </w:p>
    <w:p w14:paraId="3B157D72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</w:rPr>
        <w:t xml:space="preserve">(C) 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</w:rPr>
        <w:t>W</w:t>
      </w:r>
      <w:r>
        <w:rPr>
          <w:rFonts w:ascii="Times New Roman" w:hAnsi="Times New Roman" w:eastAsia="等线" w:cs="Times New Roman"/>
          <w:sz w:val="22"/>
          <w:szCs w:val="22"/>
        </w:rPr>
        <w:t xml:space="preserve"> knockoff statistics (Cox-MK) vs. −log10(p value) (SPACox) for </w:t>
      </w: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alzheimer disease</w:t>
      </w:r>
      <w:r>
        <w:rPr>
          <w:rFonts w:ascii="Times New Roman" w:hAnsi="Times New Roman" w:eastAsia="等线" w:cs="Times New Roman"/>
          <w:sz w:val="22"/>
          <w:szCs w:val="22"/>
        </w:rPr>
        <w:t>.</w:t>
      </w:r>
    </w:p>
    <w:p w14:paraId="79D0C28D">
      <w:pPr>
        <w:jc w:val="center"/>
      </w:pPr>
      <w:r>
        <w:drawing>
          <wp:inline distT="0" distB="0" distL="0" distR="0">
            <wp:extent cx="4669155" cy="7661910"/>
            <wp:effectExtent l="0" t="0" r="7620" b="5715"/>
            <wp:docPr id="4413971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97108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155" cy="766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BDBB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val="en-US" w:eastAsia="zh-CN" w:bidi="ar"/>
        </w:rPr>
        <w:t>2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Manhattan plots for GWAS of 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a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sthma in the UK Biobank data with White British ancestry</w:t>
      </w:r>
    </w:p>
    <w:p w14:paraId="12B6CA60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GWAS results using (A) Cox-MK and (B) SPACox are shown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a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sthma. </w:t>
      </w:r>
    </w:p>
    <w:p w14:paraId="7DE69CFF">
      <w:pPr>
        <w:numPr>
          <w:ilvl w:val="0"/>
          <w:numId w:val="1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−log10(p value) (SPACox)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a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sthma.</w:t>
      </w:r>
    </w:p>
    <w:p w14:paraId="2C705BB6">
      <w:pPr>
        <w:jc w:val="center"/>
      </w:pPr>
      <w:r>
        <w:drawing>
          <wp:inline distT="0" distB="0" distL="0" distR="0">
            <wp:extent cx="4559300" cy="7483475"/>
            <wp:effectExtent l="0" t="0" r="3175" b="3175"/>
            <wp:docPr id="20656424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42480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748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B4BD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val="en-US" w:eastAsia="zh-CN"/>
        </w:rPr>
        <w:t>3</w:t>
      </w:r>
      <w:r>
        <w:rPr>
          <w:rFonts w:ascii="Times New Roman" w:hAnsi="Times New Roman" w:eastAsia="等线" w:cs="Times New Roman"/>
          <w:b/>
          <w:bCs/>
          <w:sz w:val="22"/>
          <w:szCs w:val="22"/>
        </w:rPr>
        <w:t xml:space="preserve">. Manhattan plots for GWAS of 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</w:rPr>
        <w:t>breast Cancer (female)</w:t>
      </w:r>
      <w:r>
        <w:rPr>
          <w:rFonts w:ascii="Times New Roman" w:hAnsi="Times New Roman" w:eastAsia="等线" w:cs="Times New Roman"/>
          <w:b/>
          <w:bCs/>
          <w:sz w:val="22"/>
          <w:szCs w:val="22"/>
        </w:rPr>
        <w:t xml:space="preserve"> in the UK Biobank data with White British ancestry</w:t>
      </w:r>
    </w:p>
    <w:p w14:paraId="60AE473E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14:ligatures w14:val="none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</w:rPr>
        <w:t>GWAS results using (A) Cox-MK and (B)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SPACox</w:t>
      </w:r>
      <w:r>
        <w:rPr>
          <w:rFonts w:ascii="Times New Roman" w:hAnsi="Times New Roman" w:eastAsia="等线" w:cs="Times New Roman"/>
          <w:sz w:val="22"/>
          <w:szCs w:val="22"/>
        </w:rPr>
        <w:t xml:space="preserve"> are shown for </w:t>
      </w:r>
      <w:r>
        <w:rPr>
          <w:rFonts w:hint="eastAsia" w:ascii="Times New Roman" w:hAnsi="Times New Roman" w:eastAsia="等线" w:cs="Times New Roman"/>
          <w:sz w:val="22"/>
          <w:szCs w:val="22"/>
        </w:rPr>
        <w:t>breast cancer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</w:rPr>
        <w:t xml:space="preserve"> </w:t>
      </w:r>
      <w:r>
        <w:rPr>
          <w:rFonts w:hint="eastAsia" w:ascii="Times New Roman" w:hAnsi="Times New Roman" w:eastAsia="等线" w:cs="Times New Roman"/>
          <w:sz w:val="22"/>
          <w:szCs w:val="22"/>
        </w:rPr>
        <w:t>(female)</w:t>
      </w:r>
      <w:r>
        <w:rPr>
          <w:rFonts w:ascii="Times New Roman" w:hAnsi="Times New Roman" w:eastAsia="等线" w:cs="Times New Roman"/>
          <w:sz w:val="22"/>
          <w:szCs w:val="22"/>
        </w:rPr>
        <w:t xml:space="preserve">. </w:t>
      </w:r>
    </w:p>
    <w:p w14:paraId="528007DF">
      <w:pPr>
        <w:numPr>
          <w:ilvl w:val="0"/>
          <w:numId w:val="2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</w:rPr>
        <w:t>W</w:t>
      </w:r>
      <w:r>
        <w:rPr>
          <w:rFonts w:ascii="Times New Roman" w:hAnsi="Times New Roman" w:eastAsia="等线" w:cs="Times New Roman"/>
          <w:sz w:val="22"/>
          <w:szCs w:val="22"/>
        </w:rPr>
        <w:t xml:space="preserve"> knockoff statistics (Cox-MK) vs. −log10(p value) (SPACox) for </w:t>
      </w:r>
      <w:r>
        <w:rPr>
          <w:rFonts w:hint="eastAsia" w:ascii="Times New Roman" w:hAnsi="Times New Roman" w:eastAsia="等线" w:cs="Times New Roman"/>
          <w:sz w:val="22"/>
          <w:szCs w:val="22"/>
        </w:rPr>
        <w:t>breast cancer (female)</w:t>
      </w:r>
      <w:r>
        <w:rPr>
          <w:rFonts w:ascii="Times New Roman" w:hAnsi="Times New Roman" w:eastAsia="等线" w:cs="Times New Roman"/>
          <w:sz w:val="22"/>
          <w:szCs w:val="22"/>
        </w:rPr>
        <w:t>.</w:t>
      </w:r>
    </w:p>
    <w:p w14:paraId="2CA27FC2">
      <w:pPr>
        <w:jc w:val="center"/>
      </w:pPr>
      <w:r>
        <w:drawing>
          <wp:inline distT="0" distB="0" distL="0" distR="0">
            <wp:extent cx="4474845" cy="7343775"/>
            <wp:effectExtent l="0" t="0" r="1905" b="0"/>
            <wp:docPr id="8506670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67013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AB3B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val="en-US" w:eastAsia="zh-CN"/>
        </w:rPr>
        <w:t>4</w:t>
      </w:r>
      <w:r>
        <w:rPr>
          <w:rFonts w:ascii="Times New Roman" w:hAnsi="Times New Roman" w:eastAsia="等线" w:cs="Times New Roman"/>
          <w:b/>
          <w:bCs/>
          <w:sz w:val="22"/>
          <w:szCs w:val="22"/>
        </w:rPr>
        <w:t>. Manhattan plots for GWAS of cardiac dysrhythmias in the UK Biobank data with White British ancestry</w:t>
      </w:r>
    </w:p>
    <w:p w14:paraId="60F61021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14:ligatures w14:val="none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</w:rPr>
        <w:t xml:space="preserve">GWAS results using (A) Cox-MK and (B) SPACox are shown for </w:t>
      </w: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cardiac dysrhythmias</w:t>
      </w:r>
      <w:r>
        <w:rPr>
          <w:rFonts w:ascii="Times New Roman" w:hAnsi="Times New Roman" w:eastAsia="等线" w:cs="Times New Roman"/>
          <w:sz w:val="22"/>
          <w:szCs w:val="22"/>
        </w:rPr>
        <w:t xml:space="preserve">. </w:t>
      </w:r>
    </w:p>
    <w:p w14:paraId="42ECF1A0">
      <w:pPr>
        <w:numPr>
          <w:ilvl w:val="0"/>
          <w:numId w:val="3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</w:rPr>
        <w:t>W</w:t>
      </w:r>
      <w:r>
        <w:rPr>
          <w:rFonts w:ascii="Times New Roman" w:hAnsi="Times New Roman" w:eastAsia="等线" w:cs="Times New Roman"/>
          <w:sz w:val="22"/>
          <w:szCs w:val="22"/>
        </w:rPr>
        <w:t xml:space="preserve"> knockoff statistics (Cox-MK) vs. −log10(p value) (SPACox) for </w:t>
      </w: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cardiac dysrhythmias</w:t>
      </w:r>
      <w:r>
        <w:rPr>
          <w:rFonts w:ascii="Times New Roman" w:hAnsi="Times New Roman" w:eastAsia="等线" w:cs="Times New Roman"/>
          <w:sz w:val="22"/>
          <w:szCs w:val="22"/>
        </w:rPr>
        <w:t>.</w:t>
      </w:r>
    </w:p>
    <w:p w14:paraId="191B0079">
      <w:pPr>
        <w:jc w:val="center"/>
      </w:pPr>
      <w:r>
        <w:drawing>
          <wp:inline distT="0" distB="0" distL="0" distR="0">
            <wp:extent cx="4615180" cy="7574280"/>
            <wp:effectExtent l="0" t="0" r="4445" b="7620"/>
            <wp:docPr id="6573451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45147" name="图片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757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161D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val="en-US" w:eastAsia="zh-CN" w:bidi="ar"/>
        </w:rPr>
        <w:t>5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Manhattan plots for GWAS of 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c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ataract in the UK Biobank data with White British ancestry</w:t>
      </w:r>
    </w:p>
    <w:p w14:paraId="10116873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GWAS results using (A) Cox-MK and (B)</w:t>
      </w:r>
      <w:r>
        <w:rPr>
          <w:rFonts w:ascii="Times New Roman" w:hAnsi="Times New Roman" w:eastAsia="等线" w:cs="Times New Roman"/>
          <w:sz w:val="22"/>
          <w:szCs w:val="22"/>
        </w:rPr>
        <w:t xml:space="preserve"> SPACox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are shown for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 xml:space="preserve"> c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ataract. </w:t>
      </w:r>
    </w:p>
    <w:p w14:paraId="7CFF5506">
      <w:pPr>
        <w:numPr>
          <w:ilvl w:val="0"/>
          <w:numId w:val="4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−log10(p value) (SPACox)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c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ataract.</w:t>
      </w:r>
    </w:p>
    <w:p w14:paraId="6B3BDB9C">
      <w:pPr>
        <w:jc w:val="center"/>
      </w:pPr>
      <w:r>
        <w:drawing>
          <wp:inline distT="0" distB="0" distL="0" distR="0">
            <wp:extent cx="4537075" cy="7444740"/>
            <wp:effectExtent l="0" t="0" r="6350" b="3810"/>
            <wp:docPr id="16350837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83765" name="图片 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74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8C38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val="en-US" w:eastAsia="zh-CN" w:bidi="ar"/>
        </w:rPr>
        <w:t>6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Manhattan plots for GWAS of 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c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oronary atherosclerosis in the UK Biobank data with White British ancestry</w:t>
      </w:r>
    </w:p>
    <w:p w14:paraId="4DF210B6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GWAS results using (A) Cox-MK and (B) SPACox are shown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c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oronary atherosclerosis. </w:t>
      </w:r>
    </w:p>
    <w:p w14:paraId="5BD0B354">
      <w:pPr>
        <w:numPr>
          <w:ilvl w:val="0"/>
          <w:numId w:val="5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−log10(p value) (SPACox)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c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oronary atherosclerosis.</w:t>
      </w:r>
    </w:p>
    <w:p w14:paraId="38A14BBA">
      <w:pPr>
        <w:jc w:val="center"/>
      </w:pPr>
      <w:r>
        <w:drawing>
          <wp:inline distT="0" distB="0" distL="0" distR="0">
            <wp:extent cx="4582160" cy="7519035"/>
            <wp:effectExtent l="0" t="0" r="8890" b="5715"/>
            <wp:docPr id="11572312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31251" name="图片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751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89CF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val="en-US" w:eastAsia="zh-CN"/>
        </w:rPr>
        <w:t>7</w:t>
      </w:r>
      <w:r>
        <w:rPr>
          <w:rFonts w:ascii="Times New Roman" w:hAnsi="Times New Roman" w:eastAsia="等线" w:cs="Times New Roman"/>
          <w:b/>
          <w:bCs/>
          <w:sz w:val="22"/>
          <w:szCs w:val="22"/>
        </w:rPr>
        <w:t>. Manhattan plots for GWAS of essential hypertension in the UK Biobank data with White British ancestry</w:t>
      </w:r>
    </w:p>
    <w:p w14:paraId="02F71EEE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14:ligatures w14:val="none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</w:rPr>
        <w:t xml:space="preserve">GWAS results using (A) Cox-MK and (B)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SPACox</w:t>
      </w:r>
      <w:r>
        <w:rPr>
          <w:rFonts w:ascii="Times New Roman" w:hAnsi="Times New Roman" w:eastAsia="等线" w:cs="Times New Roman"/>
          <w:sz w:val="22"/>
          <w:szCs w:val="22"/>
        </w:rPr>
        <w:t xml:space="preserve"> are shown for essential hypertension. </w:t>
      </w:r>
    </w:p>
    <w:p w14:paraId="5AACA7E4">
      <w:pPr>
        <w:numPr>
          <w:ilvl w:val="0"/>
          <w:numId w:val="2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</w:rPr>
        <w:t>W</w:t>
      </w:r>
      <w:r>
        <w:rPr>
          <w:rFonts w:ascii="Times New Roman" w:hAnsi="Times New Roman" w:eastAsia="等线" w:cs="Times New Roman"/>
          <w:sz w:val="22"/>
          <w:szCs w:val="22"/>
        </w:rPr>
        <w:t xml:space="preserve"> knockoff statistics (Cox-MK) vs. −log10(p value) (SPACox) for essential hypertension.</w:t>
      </w:r>
    </w:p>
    <w:p w14:paraId="184FA83E">
      <w:pPr>
        <w:jc w:val="center"/>
      </w:pPr>
      <w:r>
        <w:drawing>
          <wp:inline distT="0" distB="0" distL="0" distR="0">
            <wp:extent cx="4661535" cy="7650480"/>
            <wp:effectExtent l="0" t="0" r="5715" b="7620"/>
            <wp:docPr id="136135755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57555" name="图片 8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765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9C73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val="en-US" w:eastAsia="zh-CN" w:bidi="ar"/>
        </w:rPr>
        <w:t>8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Manhattan plots for GWAS of 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glaucoma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 in the UK Biobank data with White British ancestry</w:t>
      </w:r>
    </w:p>
    <w:p w14:paraId="50A9B8E2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GWAS results using (A) </w:t>
      </w:r>
      <w:r>
        <w:rPr>
          <w:rFonts w:ascii="Times New Roman" w:hAnsi="Times New Roman" w:eastAsia="等线" w:cs="Times New Roman"/>
          <w:sz w:val="22"/>
          <w:szCs w:val="22"/>
        </w:rPr>
        <w:t>Cox-MK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and (B) SPACox are shown for glaucoma. </w:t>
      </w:r>
    </w:p>
    <w:p w14:paraId="7D45B79A">
      <w:pPr>
        <w:numPr>
          <w:ilvl w:val="0"/>
          <w:numId w:val="6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−log10(p value) (SPACox) for glaucoma.</w:t>
      </w:r>
    </w:p>
    <w:p w14:paraId="57AA221E">
      <w:pPr>
        <w:jc w:val="center"/>
      </w:pPr>
      <w:r>
        <w:drawing>
          <wp:inline distT="0" distB="0" distL="0" distR="0">
            <wp:extent cx="4478655" cy="7350125"/>
            <wp:effectExtent l="0" t="0" r="7620" b="3175"/>
            <wp:docPr id="26512277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22776" name="图片 9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655" cy="735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866F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val="en-US" w:eastAsia="zh-CN" w:bidi="ar"/>
        </w:rPr>
        <w:t>9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Manhattan plots for GWAS of 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a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bdominal hernia in the UK Biobank data with White British ancestry</w:t>
      </w:r>
    </w:p>
    <w:p w14:paraId="041C709A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GWAS results using (A) Cox-MK and (B) SPACox are shown for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 xml:space="preserve"> a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bdominal hernia. </w:t>
      </w:r>
    </w:p>
    <w:p w14:paraId="2797E80E">
      <w:pPr>
        <w:numPr>
          <w:ilvl w:val="0"/>
          <w:numId w:val="7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−log10(p value) (SPACox)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a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bdominal hernia.</w:t>
      </w:r>
    </w:p>
    <w:p w14:paraId="189351A7">
      <w:pPr>
        <w:jc w:val="center"/>
      </w:pPr>
      <w:r>
        <w:drawing>
          <wp:inline distT="0" distB="0" distL="0" distR="0">
            <wp:extent cx="4620260" cy="7582535"/>
            <wp:effectExtent l="0" t="0" r="8890" b="8890"/>
            <wp:docPr id="17186782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78212" name="图片 10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75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9BD0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val="en-US" w:eastAsia="zh-CN" w:bidi="ar"/>
        </w:rPr>
        <w:t>10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Manhattan plots for GWAS of 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h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yperlipidemia in the UK Biobank data with White British ancestry</w:t>
      </w:r>
    </w:p>
    <w:p w14:paraId="26CE8E6B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GWAS results using (A) Cox-MK and (B) SPACox are shown for hyperlipidemia. </w:t>
      </w:r>
    </w:p>
    <w:p w14:paraId="261901F6">
      <w:pPr>
        <w:numPr>
          <w:ilvl w:val="0"/>
          <w:numId w:val="6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−log10(p value) (SPACox) for hyperlipidemia.</w:t>
      </w:r>
    </w:p>
    <w:p w14:paraId="463E376E">
      <w:pPr>
        <w:jc w:val="center"/>
      </w:pPr>
      <w:r>
        <w:drawing>
          <wp:inline distT="0" distB="0" distL="0" distR="0">
            <wp:extent cx="4469765" cy="7335520"/>
            <wp:effectExtent l="0" t="0" r="6985" b="8255"/>
            <wp:docPr id="85058614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86140" name="图片 1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765" cy="73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C991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val="en-US" w:eastAsia="zh-CN" w:bidi="ar"/>
        </w:rPr>
        <w:t>11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Manhattan plots for GWAS of 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ischemic heart disease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 in the UK Biobank data with White British ancestry</w:t>
      </w:r>
    </w:p>
    <w:p w14:paraId="18DDAE52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GWAS results using (A) Cox-MK and (B) SPACox are shown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ischemic heart disease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. </w:t>
      </w:r>
    </w:p>
    <w:p w14:paraId="093EFAB8">
      <w:pPr>
        <w:numPr>
          <w:ilvl w:val="0"/>
          <w:numId w:val="5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−log10(p value) (SPACox)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ischemic heart disease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.</w:t>
      </w:r>
    </w:p>
    <w:p w14:paraId="1676F020">
      <w:pPr>
        <w:jc w:val="center"/>
      </w:pPr>
      <w:r>
        <w:drawing>
          <wp:inline distT="0" distB="0" distL="0" distR="0">
            <wp:extent cx="4728210" cy="7759700"/>
            <wp:effectExtent l="0" t="0" r="5715" b="3175"/>
            <wp:docPr id="168623339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33396" name="图片 1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775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6E57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1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val="en-US" w:eastAsia="zh-CN" w:bidi="ar"/>
        </w:rPr>
        <w:t>2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Manhattan plots for GWAS of </w:t>
      </w:r>
      <w:r>
        <w:rPr>
          <w:rFonts w:ascii="Times New Roman" w:hAnsi="Times New Roman" w:eastAsia="等线" w:cs="Times New Roman"/>
          <w:b/>
          <w:bCs/>
          <w:sz w:val="22"/>
          <w:szCs w:val="22"/>
        </w:rPr>
        <w:t>T2D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 in the UK Biobank data with White British ancestry</w:t>
      </w:r>
    </w:p>
    <w:p w14:paraId="2D970CAB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GWAS results using (A) Cox-MK and (B) SPACox are shown for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 xml:space="preserve"> </w:t>
      </w:r>
      <w:r>
        <w:rPr>
          <w:rFonts w:ascii="Times New Roman" w:hAnsi="Times New Roman" w:eastAsia="等线" w:cs="Times New Roman"/>
          <w:sz w:val="22"/>
          <w:szCs w:val="22"/>
        </w:rPr>
        <w:t>T2D.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</w:t>
      </w:r>
    </w:p>
    <w:p w14:paraId="6788670B">
      <w:pPr>
        <w:numPr>
          <w:ilvl w:val="0"/>
          <w:numId w:val="7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−log10(p value) (SPACox) for T2D.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37BACE"/>
    <w:multiLevelType w:val="singleLevel"/>
    <w:tmpl w:val="8F37BACE"/>
    <w:lvl w:ilvl="0" w:tentative="0">
      <w:start w:val="3"/>
      <w:numFmt w:val="upperLetter"/>
      <w:suff w:val="space"/>
      <w:lvlText w:val="(%1)"/>
      <w:lvlJc w:val="left"/>
    </w:lvl>
  </w:abstractNum>
  <w:abstractNum w:abstractNumId="1">
    <w:nsid w:val="BE3E1A24"/>
    <w:multiLevelType w:val="multilevel"/>
    <w:tmpl w:val="BE3E1A24"/>
    <w:lvl w:ilvl="0" w:tentative="0">
      <w:start w:val="3"/>
      <w:numFmt w:val="upperLetter"/>
      <w:suff w:val="space"/>
      <w:lvlText w:val="(%1)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">
    <w:nsid w:val="F4E9CC20"/>
    <w:multiLevelType w:val="multilevel"/>
    <w:tmpl w:val="F4E9CC20"/>
    <w:lvl w:ilvl="0" w:tentative="0">
      <w:start w:val="3"/>
      <w:numFmt w:val="upperLetter"/>
      <w:suff w:val="space"/>
      <w:lvlText w:val="(%1)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3">
    <w:nsid w:val="20CE2E5F"/>
    <w:multiLevelType w:val="singleLevel"/>
    <w:tmpl w:val="20CE2E5F"/>
    <w:lvl w:ilvl="0" w:tentative="0">
      <w:start w:val="3"/>
      <w:numFmt w:val="upperLetter"/>
      <w:suff w:val="space"/>
      <w:lvlText w:val="(%1)"/>
      <w:lvlJc w:val="left"/>
    </w:lvl>
  </w:abstractNum>
  <w:abstractNum w:abstractNumId="4">
    <w:nsid w:val="2E1F294C"/>
    <w:multiLevelType w:val="multilevel"/>
    <w:tmpl w:val="2E1F294C"/>
    <w:lvl w:ilvl="0" w:tentative="0">
      <w:start w:val="3"/>
      <w:numFmt w:val="upperLetter"/>
      <w:suff w:val="space"/>
      <w:lvlText w:val="(%1)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77D3BBA"/>
    <w:multiLevelType w:val="multilevel"/>
    <w:tmpl w:val="477D3BBA"/>
    <w:lvl w:ilvl="0" w:tentative="0">
      <w:start w:val="3"/>
      <w:numFmt w:val="upperLetter"/>
      <w:suff w:val="space"/>
      <w:lvlText w:val="(%1)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6">
    <w:nsid w:val="4BBC0740"/>
    <w:multiLevelType w:val="multilevel"/>
    <w:tmpl w:val="4BBC0740"/>
    <w:lvl w:ilvl="0" w:tentative="0">
      <w:start w:val="3"/>
      <w:numFmt w:val="upperLetter"/>
      <w:suff w:val="space"/>
      <w:lvlText w:val="(%1)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9B"/>
    <w:rsid w:val="00017FDE"/>
    <w:rsid w:val="00022165"/>
    <w:rsid w:val="00042262"/>
    <w:rsid w:val="000538CC"/>
    <w:rsid w:val="00082E61"/>
    <w:rsid w:val="00091809"/>
    <w:rsid w:val="000C1DBB"/>
    <w:rsid w:val="00145E9A"/>
    <w:rsid w:val="0016178B"/>
    <w:rsid w:val="0018785E"/>
    <w:rsid w:val="001B610F"/>
    <w:rsid w:val="001C579A"/>
    <w:rsid w:val="001D7BA6"/>
    <w:rsid w:val="001E1A48"/>
    <w:rsid w:val="00212D94"/>
    <w:rsid w:val="002345BB"/>
    <w:rsid w:val="00236996"/>
    <w:rsid w:val="00250C6C"/>
    <w:rsid w:val="0025328A"/>
    <w:rsid w:val="00253B27"/>
    <w:rsid w:val="002615B9"/>
    <w:rsid w:val="00286443"/>
    <w:rsid w:val="002B73A0"/>
    <w:rsid w:val="002C622F"/>
    <w:rsid w:val="002D0C0F"/>
    <w:rsid w:val="002F2867"/>
    <w:rsid w:val="00317A69"/>
    <w:rsid w:val="0032152C"/>
    <w:rsid w:val="00332B5D"/>
    <w:rsid w:val="00380744"/>
    <w:rsid w:val="00383586"/>
    <w:rsid w:val="00384ACC"/>
    <w:rsid w:val="00392710"/>
    <w:rsid w:val="00425F6A"/>
    <w:rsid w:val="00427556"/>
    <w:rsid w:val="00445AB4"/>
    <w:rsid w:val="00474D94"/>
    <w:rsid w:val="00482B14"/>
    <w:rsid w:val="004856BB"/>
    <w:rsid w:val="004A2314"/>
    <w:rsid w:val="004B2332"/>
    <w:rsid w:val="004D1A4C"/>
    <w:rsid w:val="005824B1"/>
    <w:rsid w:val="005870FA"/>
    <w:rsid w:val="00596FFA"/>
    <w:rsid w:val="005A3193"/>
    <w:rsid w:val="005D04C9"/>
    <w:rsid w:val="005E6FB1"/>
    <w:rsid w:val="00604A22"/>
    <w:rsid w:val="006069F6"/>
    <w:rsid w:val="0062016F"/>
    <w:rsid w:val="006256DB"/>
    <w:rsid w:val="006B63A1"/>
    <w:rsid w:val="006C4171"/>
    <w:rsid w:val="00707F00"/>
    <w:rsid w:val="007327CB"/>
    <w:rsid w:val="00733896"/>
    <w:rsid w:val="0074153A"/>
    <w:rsid w:val="00766FF4"/>
    <w:rsid w:val="00785C25"/>
    <w:rsid w:val="00795F3E"/>
    <w:rsid w:val="007D15A5"/>
    <w:rsid w:val="007E41BA"/>
    <w:rsid w:val="00803EB4"/>
    <w:rsid w:val="00810745"/>
    <w:rsid w:val="00873A42"/>
    <w:rsid w:val="008A0896"/>
    <w:rsid w:val="008B115A"/>
    <w:rsid w:val="008C6916"/>
    <w:rsid w:val="008D2890"/>
    <w:rsid w:val="00910B4B"/>
    <w:rsid w:val="00971FE1"/>
    <w:rsid w:val="009C78F6"/>
    <w:rsid w:val="009E37E2"/>
    <w:rsid w:val="009F73E2"/>
    <w:rsid w:val="00A12821"/>
    <w:rsid w:val="00A16D8D"/>
    <w:rsid w:val="00A2581A"/>
    <w:rsid w:val="00A50D7D"/>
    <w:rsid w:val="00AC0CFD"/>
    <w:rsid w:val="00B153CA"/>
    <w:rsid w:val="00B22EB2"/>
    <w:rsid w:val="00B3794D"/>
    <w:rsid w:val="00B450FE"/>
    <w:rsid w:val="00B5293D"/>
    <w:rsid w:val="00B55418"/>
    <w:rsid w:val="00B625D5"/>
    <w:rsid w:val="00B71569"/>
    <w:rsid w:val="00BB584B"/>
    <w:rsid w:val="00BB60A1"/>
    <w:rsid w:val="00BE1ADB"/>
    <w:rsid w:val="00BF533F"/>
    <w:rsid w:val="00C3525A"/>
    <w:rsid w:val="00C41843"/>
    <w:rsid w:val="00C4266F"/>
    <w:rsid w:val="00C66FBC"/>
    <w:rsid w:val="00C73BA4"/>
    <w:rsid w:val="00C94899"/>
    <w:rsid w:val="00CA330D"/>
    <w:rsid w:val="00CA3950"/>
    <w:rsid w:val="00CB1688"/>
    <w:rsid w:val="00CB2793"/>
    <w:rsid w:val="00CD4B47"/>
    <w:rsid w:val="00CE3313"/>
    <w:rsid w:val="00CE3A75"/>
    <w:rsid w:val="00CF201D"/>
    <w:rsid w:val="00D15DEC"/>
    <w:rsid w:val="00D62DC2"/>
    <w:rsid w:val="00D75835"/>
    <w:rsid w:val="00D77F45"/>
    <w:rsid w:val="00D92034"/>
    <w:rsid w:val="00DA149B"/>
    <w:rsid w:val="00DC2235"/>
    <w:rsid w:val="00DC2A26"/>
    <w:rsid w:val="00DE4D80"/>
    <w:rsid w:val="00DF45A7"/>
    <w:rsid w:val="00DF74D9"/>
    <w:rsid w:val="00E03E2A"/>
    <w:rsid w:val="00E23428"/>
    <w:rsid w:val="00E3218E"/>
    <w:rsid w:val="00E33490"/>
    <w:rsid w:val="00E57A4E"/>
    <w:rsid w:val="00E64353"/>
    <w:rsid w:val="00EB6C69"/>
    <w:rsid w:val="00EC1BCE"/>
    <w:rsid w:val="00EE2BF5"/>
    <w:rsid w:val="00F17882"/>
    <w:rsid w:val="00F32A72"/>
    <w:rsid w:val="00F355F2"/>
    <w:rsid w:val="00F36A62"/>
    <w:rsid w:val="00F45702"/>
    <w:rsid w:val="00F5315B"/>
    <w:rsid w:val="00F64B5E"/>
    <w:rsid w:val="00F86A85"/>
    <w:rsid w:val="00F963B8"/>
    <w:rsid w:val="00FA48A3"/>
    <w:rsid w:val="00FB356E"/>
    <w:rsid w:val="00FF5A53"/>
    <w:rsid w:val="00FF6842"/>
    <w:rsid w:val="06EA5D2E"/>
    <w:rsid w:val="30C16474"/>
    <w:rsid w:val="49E22E0C"/>
    <w:rsid w:val="655B6952"/>
    <w:rsid w:val="666432A3"/>
    <w:rsid w:val="6C361CC7"/>
    <w:rsid w:val="79AD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632</Words>
  <Characters>3207</Characters>
  <Lines>1</Lines>
  <Paragraphs>1</Paragraphs>
  <TotalTime>6</TotalTime>
  <ScaleCrop>false</ScaleCrop>
  <LinksUpToDate>false</LinksUpToDate>
  <CharactersWithSpaces>3810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2026-01-11T03:41:00Z</dcterms:created>
  <dc:creator>Chen Y</dc:creator>
  <cp:lastModifiedBy>程华英</cp:lastModifiedBy>
  <dcterms:modified xsi:type="dcterms:W3CDTF">2026-02-15T03:39:09Z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eyJoZGlkIjoiNDE3YjkwYzZjMjE5ODMzMTcxYjUxMDY0YzcyNDQyMTQiLCJ1c2VySWQiOiIxNzc3NDcxODMxIn0=</vt:lpwstr>
  </property>
  <property fmtid="{D5CDD505-2E9C-101B-9397-08002B2CF9AE}" pid="3" name="KSOProductBuildVer">
    <vt:lpwstr>2052-12.1.0.24657</vt:lpwstr>
  </property>
  <property fmtid="{D5CDD505-2E9C-101B-9397-08002B2CF9AE}" pid="4" name="ICV">
    <vt:lpwstr>2632925403174795A3FBD34ECD8A3335_12</vt:lpwstr>
  </property>
</Properties>
</file>