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1DBA6">
      <w:pPr>
        <w:jc w:val="center"/>
        <w:rPr>
          <w:rFonts w:ascii="Times New Roman" w:hAnsi="Times New Roman" w:eastAsia="等线" w:cs="Times New Roman"/>
          <w:b/>
          <w:bCs/>
          <w:color w:val="0000FF"/>
          <w:sz w:val="22"/>
          <w:szCs w:val="22"/>
        </w:rPr>
      </w:pPr>
      <w:r>
        <w:rPr>
          <w:rFonts w:ascii="Times New Roman" w:hAnsi="Times New Roman" w:cs="Times New Roman"/>
          <w:sz w:val="22"/>
        </w:rPr>
        <w:drawing>
          <wp:inline distT="0" distB="0" distL="114300" distR="114300">
            <wp:extent cx="5257800" cy="3505200"/>
            <wp:effectExtent l="0" t="0" r="0" b="0"/>
            <wp:docPr id="12" name="图片 12" descr="baa7d9175c6149b40735a512f56f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aa7d9175c6149b40735a512f56f7a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167B">
      <w:pPr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eastAsia="等线" w:cs="Times New Roman"/>
          <w:b/>
          <w:bCs/>
          <w:color w:val="0000FF"/>
          <w:sz w:val="22"/>
          <w:szCs w:val="22"/>
        </w:rPr>
        <w:t xml:space="preserve">Figure S1. </w:t>
      </w:r>
      <w:r>
        <w:rPr>
          <w:rFonts w:ascii="Times New Roman" w:hAnsi="Times New Roman" w:eastAsia="等线" w:cs="Times New Roman"/>
          <w:color w:val="0000FF"/>
          <w:sz w:val="22"/>
          <w:szCs w:val="22"/>
        </w:rPr>
        <w:t>Power and FDR of Cox-MK, SPACox-BH, CoxKnockoff+, and Coxlasso+ using an LD cutoff of 0.8</w:t>
      </w:r>
      <w:r>
        <w:rPr>
          <w:rFonts w:hint="eastAsia" w:ascii="Times New Roman" w:hAnsi="Times New Roman" w:eastAsia="等线" w:cs="Times New Roman"/>
          <w:color w:val="0000FF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FF"/>
        </w:rPr>
        <w:t xml:space="preserve">Panels A-D summarize results across four event rates (50%, 25%, 10%, and 5%) based on 500 simulation replicates. Power is shown in the top row, and FDR in the bottom row, for each event rate. Cox-MK </w:t>
      </w:r>
      <w:r>
        <w:rPr>
          <w:rFonts w:hint="eastAsia" w:ascii="Times New Roman" w:hAnsi="Times New Roman" w:cs="Times New Roman"/>
          <w:color w:val="0000FF"/>
        </w:rPr>
        <w:t>is</w:t>
      </w:r>
      <w:r>
        <w:rPr>
          <w:rFonts w:ascii="Times New Roman" w:hAnsi="Times New Roman" w:cs="Times New Roman"/>
          <w:color w:val="0000FF"/>
        </w:rPr>
        <w:t xml:space="preserve"> evaluated using </w:t>
      </w:r>
      <w:r>
        <w:rPr>
          <w:rFonts w:ascii="Times New Roman" w:hAnsi="Times New Roman" w:cs="Times New Roman"/>
          <w:i/>
          <w:iCs/>
          <w:color w:val="0000FF"/>
        </w:rPr>
        <w:t>M</w:t>
      </w:r>
      <w:r>
        <w:rPr>
          <w:rFonts w:hint="eastAsia" w:ascii="Times New Roman" w:hAnsi="Times New Roman" w:cs="Times New Roman"/>
          <w:i/>
          <w:iCs/>
          <w:color w:val="0000FF"/>
        </w:rPr>
        <w:t xml:space="preserve"> </w:t>
      </w:r>
      <w:r>
        <w:rPr>
          <w:rFonts w:ascii="Times New Roman" w:hAnsi="Times New Roman" w:cs="Times New Roman"/>
          <w:color w:val="0000FF"/>
        </w:rPr>
        <w:t>=</w:t>
      </w:r>
      <w:r>
        <w:rPr>
          <w:rFonts w:hint="eastAsia" w:ascii="Times New Roman" w:hAnsi="Times New Roman" w:cs="Times New Roman"/>
          <w:color w:val="0000FF"/>
        </w:rPr>
        <w:t xml:space="preserve"> </w:t>
      </w:r>
      <w:r>
        <w:rPr>
          <w:rFonts w:ascii="Times New Roman" w:hAnsi="Times New Roman" w:cs="Times New Roman"/>
          <w:color w:val="0000FF"/>
        </w:rPr>
        <w:t>1, 3, 5 knockoffs.</w:t>
      </w:r>
    </w:p>
    <w:p w14:paraId="35DD1590">
      <w:pPr>
        <w:jc w:val="left"/>
        <w:rPr>
          <w:rFonts w:ascii="Times New Roman" w:hAnsi="Times New Roman" w:cs="Times New Roman"/>
        </w:rPr>
      </w:pPr>
    </w:p>
    <w:p w14:paraId="4013AAE3">
      <w:pPr>
        <w:jc w:val="center"/>
      </w:pPr>
      <w:r>
        <w:rPr>
          <w14:ligatures w14:val="none"/>
        </w:rPr>
        <w:drawing>
          <wp:inline distT="0" distB="0" distL="0" distR="0">
            <wp:extent cx="4987925" cy="7853045"/>
            <wp:effectExtent l="0" t="0" r="3175" b="0"/>
            <wp:docPr id="681054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4271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81"/>
                    <a:stretch>
                      <a:fillRect/>
                    </a:stretch>
                  </pic:blipFill>
                  <pic:spPr>
                    <a:xfrm>
                      <a:off x="0" y="0"/>
                      <a:ext cx="4997982" cy="78688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3B1B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2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</w:rPr>
        <w:t xml:space="preserve">Manhattan plots for GWAS of </w:t>
      </w:r>
      <w:r>
        <w:rPr>
          <w:rFonts w:hint="eastAsia" w:ascii="Times New Roman" w:hAnsi="Times New Roman" w:eastAsia="等线" w:cs="Times New Roman"/>
          <w:sz w:val="22"/>
          <w:szCs w:val="22"/>
          <w:lang w:eastAsia="zh-CN"/>
        </w:rPr>
        <w:t>Alzheimer</w:t>
      </w:r>
      <w:r>
        <w:rPr>
          <w:rFonts w:hint="eastAsia" w:ascii="Times New Roman" w:hAnsi="Times New Roman" w:eastAsia="等线" w:cs="Times New Roman"/>
          <w:sz w:val="22"/>
          <w:szCs w:val="22"/>
          <w:lang w:val="en-US" w:eastAsia="zh-CN"/>
        </w:rPr>
        <w:t>’</w:t>
      </w:r>
      <w:r>
        <w:rPr>
          <w:rFonts w:hint="eastAsia" w:ascii="Times New Roman" w:hAnsi="Times New Roman" w:eastAsia="等线" w:cs="Times New Roman"/>
          <w:sz w:val="22"/>
          <w:szCs w:val="22"/>
          <w:lang w:eastAsia="zh-CN"/>
        </w:rPr>
        <w:t>s disease</w:t>
      </w:r>
      <w:r>
        <w:rPr>
          <w:rFonts w:ascii="Times New Roman" w:hAnsi="Times New Roman" w:eastAsia="等线" w:cs="Times New Roman"/>
          <w:sz w:val="22"/>
          <w:szCs w:val="22"/>
        </w:rPr>
        <w:t xml:space="preserve">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</w:rPr>
        <w:t xml:space="preserve">.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Cox-MK and (B) SPACox are shown for </w:t>
      </w:r>
      <w:r>
        <w:rPr>
          <w:rFonts w:hint="eastAsia" w:ascii="Times New Roman" w:hAnsi="Times New Roman" w:eastAsia="等线" w:cs="Times New Roman"/>
          <w:sz w:val="22"/>
          <w:szCs w:val="22"/>
          <w:lang w:val="en-US" w:eastAsia="zh-CN"/>
        </w:rPr>
        <w:t>Alzheimer’s disease</w:t>
      </w:r>
      <w:r>
        <w:rPr>
          <w:rFonts w:ascii="Times New Roman" w:hAnsi="Times New Roman" w:eastAsia="等线" w:cs="Times New Roman"/>
          <w:sz w:val="22"/>
          <w:szCs w:val="22"/>
        </w:rPr>
        <w:t xml:space="preserve">. (C) 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P</w:t>
      </w:r>
      <w:r>
        <w:rPr>
          <w:rFonts w:hint="eastAsia" w:ascii="Times New Roman" w:hAnsi="Times New Roman" w:eastAsia="等线" w:cs="Times New Roman"/>
          <w:sz w:val="22"/>
          <w:szCs w:val="22"/>
        </w:rPr>
        <w:t>-</w:t>
      </w:r>
      <w:r>
        <w:rPr>
          <w:rFonts w:ascii="Times New Roman" w:hAnsi="Times New Roman" w:eastAsia="等线" w:cs="Times New Roman"/>
          <w:sz w:val="22"/>
          <w:szCs w:val="22"/>
        </w:rPr>
        <w:t xml:space="preserve">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val="en-US" w:eastAsia="zh-CN"/>
        </w:rPr>
        <w:t>Alzheimer’s disease</w:t>
      </w:r>
      <w:r>
        <w:rPr>
          <w:rFonts w:ascii="Times New Roman" w:hAnsi="Times New Roman" w:eastAsia="等线" w:cs="Times New Roman"/>
          <w:sz w:val="22"/>
          <w:szCs w:val="22"/>
        </w:rPr>
        <w:t>.</w:t>
      </w:r>
      <w:bookmarkStart w:id="0" w:name="_GoBack"/>
      <w:bookmarkEnd w:id="0"/>
    </w:p>
    <w:p w14:paraId="3C7DAE19">
      <w:pPr>
        <w:jc w:val="center"/>
      </w:pPr>
      <w:r>
        <w:drawing>
          <wp:inline distT="0" distB="0" distL="0" distR="0">
            <wp:extent cx="4669155" cy="7661910"/>
            <wp:effectExtent l="0" t="0" r="7620" b="5715"/>
            <wp:docPr id="441397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97108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76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200D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3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.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Manhattan plots for GWAS of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sthma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Cox-MK and (B) SPACox are shown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sthma. </w:t>
      </w:r>
    </w:p>
    <w:p w14:paraId="3E9C842B">
      <w:pPr>
        <w:numPr>
          <w:ilvl w:val="0"/>
          <w:numId w:val="1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  <w:lang w:bidi="ar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value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sthma.</w:t>
      </w:r>
    </w:p>
    <w:p w14:paraId="72902DD1">
      <w:pPr>
        <w:jc w:val="center"/>
      </w:pPr>
      <w:r>
        <w:drawing>
          <wp:inline distT="0" distB="0" distL="0" distR="0">
            <wp:extent cx="4559300" cy="7483475"/>
            <wp:effectExtent l="0" t="0" r="3175" b="3175"/>
            <wp:docPr id="20656424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42480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8F42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4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>.</w:t>
      </w:r>
      <w:r>
        <w:rPr>
          <w:rFonts w:ascii="Times New Roman" w:hAnsi="Times New Roman" w:eastAsia="等线" w:cs="Times New Roman"/>
          <w:sz w:val="22"/>
          <w:szCs w:val="22"/>
        </w:rPr>
        <w:t xml:space="preserve"> Manhattan plots for GWAS of </w:t>
      </w:r>
      <w:r>
        <w:rPr>
          <w:rFonts w:hint="eastAsia" w:ascii="Times New Roman" w:hAnsi="Times New Roman" w:eastAsia="等线" w:cs="Times New Roman"/>
          <w:sz w:val="22"/>
          <w:szCs w:val="22"/>
        </w:rPr>
        <w:t xml:space="preserve">breast </w:t>
      </w:r>
      <w:r>
        <w:rPr>
          <w:rFonts w:hint="eastAsia" w:ascii="Times New Roman" w:hAnsi="Times New Roman" w:eastAsia="等线" w:cs="Times New Roman"/>
          <w:sz w:val="22"/>
          <w:szCs w:val="22"/>
          <w:lang w:val="en-US" w:eastAsia="zh-CN"/>
        </w:rPr>
        <w:t>c</w:t>
      </w:r>
      <w:r>
        <w:rPr>
          <w:rFonts w:hint="eastAsia" w:ascii="Times New Roman" w:hAnsi="Times New Roman" w:eastAsia="等线" w:cs="Times New Roman"/>
          <w:sz w:val="22"/>
          <w:szCs w:val="22"/>
        </w:rPr>
        <w:t>ancer (female)</w:t>
      </w:r>
      <w:r>
        <w:rPr>
          <w:rFonts w:ascii="Times New Roman" w:hAnsi="Times New Roman" w:eastAsia="等线" w:cs="Times New Roman"/>
          <w:sz w:val="22"/>
          <w:szCs w:val="22"/>
        </w:rPr>
        <w:t xml:space="preserve">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</w:rPr>
        <w:t>.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>GWAS results using (A) Cox-MK and (B)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SPACox</w:t>
      </w:r>
      <w:r>
        <w:rPr>
          <w:rFonts w:ascii="Times New Roman" w:hAnsi="Times New Roman" w:eastAsia="等线" w:cs="Times New Roman"/>
          <w:sz w:val="22"/>
          <w:szCs w:val="22"/>
        </w:rPr>
        <w:t xml:space="preserve"> are shown for </w:t>
      </w:r>
      <w:r>
        <w:rPr>
          <w:rFonts w:hint="eastAsia" w:ascii="Times New Roman" w:hAnsi="Times New Roman" w:eastAsia="等线" w:cs="Times New Roman"/>
          <w:sz w:val="22"/>
          <w:szCs w:val="22"/>
        </w:rPr>
        <w:t>breast cancer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 xml:space="preserve"> </w:t>
      </w:r>
      <w:r>
        <w:rPr>
          <w:rFonts w:hint="eastAsia" w:ascii="Times New Roman" w:hAnsi="Times New Roman" w:eastAsia="等线" w:cs="Times New Roman"/>
          <w:sz w:val="22"/>
          <w:szCs w:val="22"/>
        </w:rPr>
        <w:t>(female)</w:t>
      </w:r>
      <w:r>
        <w:rPr>
          <w:rFonts w:ascii="Times New Roman" w:hAnsi="Times New Roman" w:eastAsia="等线" w:cs="Times New Roman"/>
          <w:sz w:val="22"/>
          <w:szCs w:val="22"/>
        </w:rPr>
        <w:t>. 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</w:t>
      </w:r>
      <w:r>
        <w:rPr>
          <w:rFonts w:hint="eastAsia" w:ascii="Times New Roman" w:hAnsi="Times New Roman" w:eastAsia="等线" w:cs="Times New Roman"/>
          <w:i/>
          <w:iCs/>
          <w:sz w:val="22"/>
          <w:szCs w:val="22"/>
        </w:rPr>
        <w:t>P</w:t>
      </w:r>
      <w:r>
        <w:rPr>
          <w:rFonts w:hint="eastAsia" w:ascii="Times New Roman" w:hAnsi="Times New Roman" w:eastAsia="等线" w:cs="Times New Roman"/>
          <w:sz w:val="22"/>
          <w:szCs w:val="22"/>
        </w:rPr>
        <w:t>-value</w:t>
      </w:r>
      <w:r>
        <w:rPr>
          <w:rFonts w:ascii="Times New Roman" w:hAnsi="Times New Roman" w:eastAsia="等线" w:cs="Times New Roman"/>
          <w:sz w:val="22"/>
          <w:szCs w:val="22"/>
        </w:rPr>
        <w:t xml:space="preserve">) (SPACox) for </w:t>
      </w:r>
      <w:r>
        <w:rPr>
          <w:rFonts w:hint="eastAsia" w:ascii="Times New Roman" w:hAnsi="Times New Roman" w:eastAsia="等线" w:cs="Times New Roman"/>
          <w:sz w:val="22"/>
          <w:szCs w:val="22"/>
        </w:rPr>
        <w:t>breast cancer (female)</w:t>
      </w:r>
      <w:r>
        <w:rPr>
          <w:rFonts w:ascii="Times New Roman" w:hAnsi="Times New Roman" w:eastAsia="等线" w:cs="Times New Roman"/>
          <w:sz w:val="22"/>
          <w:szCs w:val="22"/>
        </w:rPr>
        <w:t>.</w:t>
      </w:r>
    </w:p>
    <w:p w14:paraId="7AC0C487">
      <w:pPr>
        <w:jc w:val="center"/>
      </w:pPr>
      <w:r>
        <w:drawing>
          <wp:inline distT="0" distB="0" distL="0" distR="0">
            <wp:extent cx="4474845" cy="7343775"/>
            <wp:effectExtent l="0" t="0" r="1905" b="0"/>
            <wp:docPr id="8506670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7013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9A2C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5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</w:rPr>
        <w:t>Manhattan plots for GWAS of cardiac dysrhythmias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</w:rPr>
        <w:t xml:space="preserve">.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Cox-MK and (B) SPACox are shown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cardiac dysrhythmias</w:t>
      </w:r>
      <w:r>
        <w:rPr>
          <w:rFonts w:ascii="Times New Roman" w:hAnsi="Times New Roman" w:eastAsia="等线" w:cs="Times New Roman"/>
          <w:sz w:val="22"/>
          <w:szCs w:val="22"/>
        </w:rPr>
        <w:t>. 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</w:rPr>
        <w:t>value</w:t>
      </w:r>
      <w:r>
        <w:rPr>
          <w:rFonts w:ascii="Times New Roman" w:hAnsi="Times New Roman" w:eastAsia="等线" w:cs="Times New Roman"/>
          <w:sz w:val="22"/>
          <w:szCs w:val="22"/>
        </w:rPr>
        <w:t xml:space="preserve">) (SPACox)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cardiac dysrhythmias</w:t>
      </w:r>
      <w:r>
        <w:rPr>
          <w:rFonts w:ascii="Times New Roman" w:hAnsi="Times New Roman" w:eastAsia="等线" w:cs="Times New Roman"/>
          <w:sz w:val="22"/>
          <w:szCs w:val="22"/>
        </w:rPr>
        <w:t>.</w:t>
      </w:r>
    </w:p>
    <w:p w14:paraId="405158F8">
      <w:pPr>
        <w:jc w:val="center"/>
      </w:pPr>
      <w:r>
        <w:drawing>
          <wp:inline distT="0" distB="0" distL="0" distR="0">
            <wp:extent cx="4615180" cy="7574280"/>
            <wp:effectExtent l="0" t="0" r="4445" b="7620"/>
            <wp:docPr id="6573451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45147" name="图片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75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8081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6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Manhattan plots for GWAS of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ataract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Cox-MK and (B)</w:t>
      </w:r>
      <w:r>
        <w:rPr>
          <w:rFonts w:ascii="Times New Roman" w:hAnsi="Times New Roman" w:eastAsia="等线" w:cs="Times New Roman"/>
          <w:sz w:val="22"/>
          <w:szCs w:val="22"/>
        </w:rPr>
        <w:t xml:space="preserve"> SPACox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are shown for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 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ataract.</w:t>
      </w:r>
      <w:r>
        <w:rPr>
          <w:rFonts w:ascii="Times New Roman" w:hAnsi="Times New Roman" w:eastAsia="等线" w:cs="Times New Roman"/>
          <w:sz w:val="22"/>
          <w:szCs w:val="22"/>
        </w:rPr>
        <w:t xml:space="preserve"> 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  <w:lang w:bidi="ar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value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ataract.</w:t>
      </w:r>
    </w:p>
    <w:p w14:paraId="2D8B7F4B">
      <w:pPr>
        <w:jc w:val="center"/>
      </w:pPr>
      <w:r>
        <w:drawing>
          <wp:inline distT="0" distB="0" distL="0" distR="0">
            <wp:extent cx="4537075" cy="7444740"/>
            <wp:effectExtent l="0" t="0" r="6350" b="3810"/>
            <wp:docPr id="16350837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3765" name="图片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5FEA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7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Manhattan plots for GWAS of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oronary atherosclerosis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Cox-MK and (B) SPACox are shown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oronary atherosclerosis. </w:t>
      </w:r>
      <w:r>
        <w:rPr>
          <w:rFonts w:ascii="Times New Roman" w:hAnsi="Times New Roman" w:eastAsia="等线" w:cs="Times New Roman"/>
          <w:sz w:val="22"/>
          <w:szCs w:val="22"/>
        </w:rPr>
        <w:t>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  <w:lang w:bidi="ar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value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oronary atherosclerosis.</w:t>
      </w:r>
    </w:p>
    <w:p w14:paraId="7915C582">
      <w:pPr>
        <w:jc w:val="center"/>
      </w:pPr>
      <w:r>
        <w:drawing>
          <wp:inline distT="0" distB="0" distL="0" distR="0">
            <wp:extent cx="4582160" cy="7519035"/>
            <wp:effectExtent l="0" t="0" r="8890" b="5715"/>
            <wp:docPr id="11572312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1251" name="图片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75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56E2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8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</w:rPr>
        <w:t>Manhattan plots for GWAS of essential hypertension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</w:rPr>
        <w:t xml:space="preserve">.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Cox-MK and (B)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SPACox</w:t>
      </w:r>
      <w:r>
        <w:rPr>
          <w:rFonts w:ascii="Times New Roman" w:hAnsi="Times New Roman" w:eastAsia="等线" w:cs="Times New Roman"/>
          <w:sz w:val="22"/>
          <w:szCs w:val="22"/>
        </w:rPr>
        <w:t xml:space="preserve"> are shown for essential hypertension. 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</w:rPr>
        <w:t>value</w:t>
      </w:r>
      <w:r>
        <w:rPr>
          <w:rFonts w:ascii="Times New Roman" w:hAnsi="Times New Roman" w:eastAsia="等线" w:cs="Times New Roman"/>
          <w:sz w:val="22"/>
          <w:szCs w:val="22"/>
        </w:rPr>
        <w:t>) (SPACox) for essential hypertension.</w:t>
      </w:r>
    </w:p>
    <w:p w14:paraId="610A7161">
      <w:pPr>
        <w:jc w:val="center"/>
      </w:pPr>
      <w:r>
        <w:drawing>
          <wp:inline distT="0" distB="0" distL="0" distR="0">
            <wp:extent cx="4661535" cy="7650480"/>
            <wp:effectExtent l="0" t="0" r="5715" b="7620"/>
            <wp:docPr id="13613575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57555" name="图片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8423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9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Manhattan plots for GWAS of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glaucoma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</w:t>
      </w:r>
      <w:r>
        <w:rPr>
          <w:rFonts w:ascii="Times New Roman" w:hAnsi="Times New Roman" w:eastAsia="等线" w:cs="Times New Roman"/>
          <w:sz w:val="22"/>
          <w:szCs w:val="22"/>
        </w:rPr>
        <w:t>Cox-MK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and (B) SPACox are shown for glaucoma.</w:t>
      </w:r>
      <w:r>
        <w:rPr>
          <w:rFonts w:ascii="Times New Roman" w:hAnsi="Times New Roman" w:eastAsia="等线" w:cs="Times New Roman"/>
          <w:sz w:val="22"/>
          <w:szCs w:val="22"/>
        </w:rPr>
        <w:t xml:space="preserve"> 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  <w:lang w:bidi="ar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value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) (SPACox) for glaucoma.</w:t>
      </w:r>
    </w:p>
    <w:p w14:paraId="01A0DD92">
      <w:pPr>
        <w:jc w:val="center"/>
      </w:pPr>
      <w:r>
        <w:drawing>
          <wp:inline distT="0" distB="0" distL="0" distR="0">
            <wp:extent cx="4478655" cy="7350125"/>
            <wp:effectExtent l="0" t="0" r="7620" b="3175"/>
            <wp:docPr id="2651227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22776" name="图片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21D8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10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Manhattan plots for GWAS of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bdominal hernia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Cox-MK and (B) SPACox are shown for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 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bdominal hernia. </w:t>
      </w:r>
      <w:r>
        <w:rPr>
          <w:rFonts w:ascii="Times New Roman" w:hAnsi="Times New Roman" w:eastAsia="等线" w:cs="Times New Roman"/>
          <w:sz w:val="22"/>
          <w:szCs w:val="22"/>
        </w:rPr>
        <w:t>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  <w:lang w:bidi="ar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value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bdominal hernia.</w:t>
      </w:r>
    </w:p>
    <w:p w14:paraId="2C3F43F8">
      <w:pPr>
        <w:jc w:val="center"/>
      </w:pPr>
      <w:r>
        <w:drawing>
          <wp:inline distT="0" distB="0" distL="0" distR="0">
            <wp:extent cx="4620260" cy="7582535"/>
            <wp:effectExtent l="0" t="0" r="8890" b="8890"/>
            <wp:docPr id="17186782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78212" name="图片 10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75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8706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11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.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Manhattan plots for GWAS of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h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yperlipidemia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.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 xml:space="preserve">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Cox-MK and (B) SPACox are shown for hyperlipidemia.</w:t>
      </w:r>
      <w:r>
        <w:rPr>
          <w:rFonts w:ascii="Times New Roman" w:hAnsi="Times New Roman" w:eastAsia="等线" w:cs="Times New Roman"/>
          <w:sz w:val="22"/>
          <w:szCs w:val="22"/>
        </w:rPr>
        <w:t xml:space="preserve"> 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  <w:lang w:bidi="ar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value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) (SPACox) for hyperlipidemia.</w:t>
      </w:r>
    </w:p>
    <w:p w14:paraId="79155E8C">
      <w:pPr>
        <w:jc w:val="center"/>
      </w:pPr>
      <w:r>
        <w:drawing>
          <wp:inline distT="0" distB="0" distL="0" distR="0">
            <wp:extent cx="4469765" cy="7335520"/>
            <wp:effectExtent l="0" t="0" r="6985" b="8255"/>
            <wp:docPr id="8505861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6140" name="图片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73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96C2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12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Manhattan plots for GWAS of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ischemic heart disease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Cox-MK and (B) SPACox are shown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ischemic heart disease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</w:rPr>
        <w:t>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  <w:lang w:bidi="ar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value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ischemic heart disease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.</w:t>
      </w:r>
    </w:p>
    <w:p w14:paraId="2118EDC5">
      <w:pPr>
        <w:jc w:val="center"/>
      </w:pPr>
      <w:r>
        <w:drawing>
          <wp:inline distT="0" distB="0" distL="0" distR="0">
            <wp:extent cx="4728210" cy="7759700"/>
            <wp:effectExtent l="0" t="0" r="5715" b="3175"/>
            <wp:docPr id="16862333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33396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77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7E4C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13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Manhattan plots for GWAS of </w:t>
      </w:r>
      <w:r>
        <w:rPr>
          <w:rFonts w:hint="eastAsia" w:ascii="Times New Roman" w:hAnsi="Times New Roman" w:eastAsia="等线" w:cs="Times New Roman"/>
          <w:sz w:val="22"/>
          <w:szCs w:val="22"/>
          <w:lang w:val="en-US" w:eastAsia="zh-CN"/>
        </w:rPr>
        <w:t>type 2 diabetes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in the UK Biobank data with White British ancestry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.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 xml:space="preserve"> </w:t>
      </w: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Cox-MK and (B) SPACox are shown for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 </w:t>
      </w:r>
      <w:r>
        <w:rPr>
          <w:rFonts w:hint="eastAsia" w:ascii="Times New Roman" w:hAnsi="Times New Roman" w:eastAsia="等线" w:cs="Times New Roman"/>
          <w:sz w:val="22"/>
          <w:szCs w:val="22"/>
          <w:lang w:val="en-US" w:eastAsia="zh-CN"/>
        </w:rPr>
        <w:t>type 2 diabetes</w:t>
      </w:r>
      <w:r>
        <w:rPr>
          <w:rFonts w:ascii="Times New Roman" w:hAnsi="Times New Roman" w:eastAsia="等线" w:cs="Times New Roman"/>
          <w:sz w:val="22"/>
          <w:szCs w:val="22"/>
        </w:rPr>
        <w:t>. (</w:t>
      </w:r>
      <w:r>
        <w:rPr>
          <w:rFonts w:hint="eastAsia" w:ascii="Times New Roman" w:hAnsi="Times New Roman" w:eastAsia="等线" w:cs="Times New Roman"/>
          <w:sz w:val="22"/>
          <w:szCs w:val="22"/>
        </w:rPr>
        <w:t>C</w:t>
      </w:r>
      <w:r>
        <w:rPr>
          <w:rFonts w:ascii="Times New Roman" w:hAnsi="Times New Roman" w:eastAsia="等线" w:cs="Times New Roman"/>
          <w:sz w:val="22"/>
          <w:szCs w:val="22"/>
        </w:rPr>
        <w:t xml:space="preserve">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</w:t>
      </w:r>
      <w:r>
        <w:rPr>
          <w:rFonts w:ascii="Times New Roman" w:hAnsi="Times New Roman" w:eastAsia="等线" w:cs="Times New Roman"/>
          <w:i/>
          <w:sz w:val="22"/>
          <w:szCs w:val="22"/>
          <w:lang w:bidi="ar"/>
        </w:rPr>
        <w:t>P-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value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) (SPACox) for </w:t>
      </w:r>
      <w:r>
        <w:rPr>
          <w:rFonts w:hint="eastAsia" w:ascii="Times New Roman" w:hAnsi="Times New Roman" w:eastAsia="等线" w:cs="Times New Roman"/>
          <w:sz w:val="22"/>
          <w:szCs w:val="22"/>
          <w:lang w:val="en-US" w:eastAsia="zh-CN"/>
        </w:rPr>
        <w:t>type 2 diabetes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E1A24"/>
    <w:multiLevelType w:val="multilevel"/>
    <w:tmpl w:val="BE3E1A24"/>
    <w:lvl w:ilvl="0" w:tentative="0">
      <w:start w:val="3"/>
      <w:numFmt w:val="upperLetter"/>
      <w:suff w:val="space"/>
      <w:lvlText w:val="(%1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ljYzUzMWQ4OWI0YzBkYjYzMDRhZTY5ZjZkYmFmYTgifQ=="/>
  </w:docVars>
  <w:rsids>
    <w:rsidRoot w:val="00DA149B"/>
    <w:rsid w:val="00017FDE"/>
    <w:rsid w:val="00022165"/>
    <w:rsid w:val="00042262"/>
    <w:rsid w:val="000538CC"/>
    <w:rsid w:val="00082E61"/>
    <w:rsid w:val="000869F9"/>
    <w:rsid w:val="00091809"/>
    <w:rsid w:val="000C1DBB"/>
    <w:rsid w:val="00145E9A"/>
    <w:rsid w:val="0016178B"/>
    <w:rsid w:val="0018785E"/>
    <w:rsid w:val="001B610F"/>
    <w:rsid w:val="001C579A"/>
    <w:rsid w:val="001D7BA6"/>
    <w:rsid w:val="001E1A48"/>
    <w:rsid w:val="001E2C38"/>
    <w:rsid w:val="00212D94"/>
    <w:rsid w:val="002345BB"/>
    <w:rsid w:val="00236996"/>
    <w:rsid w:val="00250C6C"/>
    <w:rsid w:val="0025328A"/>
    <w:rsid w:val="00253B27"/>
    <w:rsid w:val="002615B9"/>
    <w:rsid w:val="00286443"/>
    <w:rsid w:val="002B73A0"/>
    <w:rsid w:val="002C622F"/>
    <w:rsid w:val="002D0C0F"/>
    <w:rsid w:val="002F2867"/>
    <w:rsid w:val="00317A69"/>
    <w:rsid w:val="0032152C"/>
    <w:rsid w:val="00332B5D"/>
    <w:rsid w:val="00380744"/>
    <w:rsid w:val="00383586"/>
    <w:rsid w:val="00384ACC"/>
    <w:rsid w:val="00392710"/>
    <w:rsid w:val="003C6A9B"/>
    <w:rsid w:val="00425F6A"/>
    <w:rsid w:val="00427556"/>
    <w:rsid w:val="00445AB4"/>
    <w:rsid w:val="00474D94"/>
    <w:rsid w:val="00482B14"/>
    <w:rsid w:val="004856BB"/>
    <w:rsid w:val="004A2314"/>
    <w:rsid w:val="004B2332"/>
    <w:rsid w:val="004D1A4C"/>
    <w:rsid w:val="005824B1"/>
    <w:rsid w:val="005870FA"/>
    <w:rsid w:val="00596FFA"/>
    <w:rsid w:val="005A3193"/>
    <w:rsid w:val="005D04C9"/>
    <w:rsid w:val="005E6FB1"/>
    <w:rsid w:val="00604A22"/>
    <w:rsid w:val="006069F6"/>
    <w:rsid w:val="0062016F"/>
    <w:rsid w:val="006256DB"/>
    <w:rsid w:val="006B63A1"/>
    <w:rsid w:val="006C4171"/>
    <w:rsid w:val="00707F00"/>
    <w:rsid w:val="007327CB"/>
    <w:rsid w:val="00733896"/>
    <w:rsid w:val="0074153A"/>
    <w:rsid w:val="00766FF4"/>
    <w:rsid w:val="00785C25"/>
    <w:rsid w:val="00795F3E"/>
    <w:rsid w:val="007D15A5"/>
    <w:rsid w:val="007E41BA"/>
    <w:rsid w:val="00803EB4"/>
    <w:rsid w:val="00810745"/>
    <w:rsid w:val="00812DD2"/>
    <w:rsid w:val="00833ADF"/>
    <w:rsid w:val="00873A42"/>
    <w:rsid w:val="008A0896"/>
    <w:rsid w:val="008B115A"/>
    <w:rsid w:val="008C6916"/>
    <w:rsid w:val="008D2890"/>
    <w:rsid w:val="00910B4B"/>
    <w:rsid w:val="00971FE1"/>
    <w:rsid w:val="009C78F6"/>
    <w:rsid w:val="009E37E2"/>
    <w:rsid w:val="009F73E2"/>
    <w:rsid w:val="00A12821"/>
    <w:rsid w:val="00A16D8D"/>
    <w:rsid w:val="00A2581A"/>
    <w:rsid w:val="00A50D7D"/>
    <w:rsid w:val="00AC0CFD"/>
    <w:rsid w:val="00B153CA"/>
    <w:rsid w:val="00B22EB2"/>
    <w:rsid w:val="00B3794D"/>
    <w:rsid w:val="00B450FE"/>
    <w:rsid w:val="00B5293D"/>
    <w:rsid w:val="00B55418"/>
    <w:rsid w:val="00B625D5"/>
    <w:rsid w:val="00B71569"/>
    <w:rsid w:val="00BB584B"/>
    <w:rsid w:val="00BB60A1"/>
    <w:rsid w:val="00BE1ADB"/>
    <w:rsid w:val="00BF533F"/>
    <w:rsid w:val="00C1706C"/>
    <w:rsid w:val="00C3525A"/>
    <w:rsid w:val="00C41843"/>
    <w:rsid w:val="00C4266F"/>
    <w:rsid w:val="00C66FBC"/>
    <w:rsid w:val="00C73BA4"/>
    <w:rsid w:val="00C94899"/>
    <w:rsid w:val="00CA330D"/>
    <w:rsid w:val="00CA3950"/>
    <w:rsid w:val="00CB1688"/>
    <w:rsid w:val="00CB2793"/>
    <w:rsid w:val="00CD4B47"/>
    <w:rsid w:val="00CE3313"/>
    <w:rsid w:val="00CE3A75"/>
    <w:rsid w:val="00CF201D"/>
    <w:rsid w:val="00D15DEC"/>
    <w:rsid w:val="00D16FD4"/>
    <w:rsid w:val="00D62DC2"/>
    <w:rsid w:val="00D75835"/>
    <w:rsid w:val="00D77F45"/>
    <w:rsid w:val="00D92034"/>
    <w:rsid w:val="00DA149B"/>
    <w:rsid w:val="00DC2235"/>
    <w:rsid w:val="00DC2A26"/>
    <w:rsid w:val="00DE4D80"/>
    <w:rsid w:val="00DF45A7"/>
    <w:rsid w:val="00DF74D9"/>
    <w:rsid w:val="00E03E2A"/>
    <w:rsid w:val="00E23428"/>
    <w:rsid w:val="00E3218E"/>
    <w:rsid w:val="00E33490"/>
    <w:rsid w:val="00E57A4E"/>
    <w:rsid w:val="00E64353"/>
    <w:rsid w:val="00EB6C69"/>
    <w:rsid w:val="00EC1BCE"/>
    <w:rsid w:val="00EE2BF5"/>
    <w:rsid w:val="00F17882"/>
    <w:rsid w:val="00F32A72"/>
    <w:rsid w:val="00F355F2"/>
    <w:rsid w:val="00F36A62"/>
    <w:rsid w:val="00F45702"/>
    <w:rsid w:val="00F5315B"/>
    <w:rsid w:val="00F64B5E"/>
    <w:rsid w:val="00F86A85"/>
    <w:rsid w:val="00F963B8"/>
    <w:rsid w:val="00FA48A3"/>
    <w:rsid w:val="00FB356E"/>
    <w:rsid w:val="00FF5A53"/>
    <w:rsid w:val="00FF6842"/>
    <w:rsid w:val="03CD53F9"/>
    <w:rsid w:val="06274B15"/>
    <w:rsid w:val="06EA5D2E"/>
    <w:rsid w:val="0D1F511A"/>
    <w:rsid w:val="11C40C24"/>
    <w:rsid w:val="12D54DAC"/>
    <w:rsid w:val="161A4F1F"/>
    <w:rsid w:val="1C294840"/>
    <w:rsid w:val="220F6958"/>
    <w:rsid w:val="292C3C84"/>
    <w:rsid w:val="29A045D9"/>
    <w:rsid w:val="2D2D0F96"/>
    <w:rsid w:val="30C16474"/>
    <w:rsid w:val="32597893"/>
    <w:rsid w:val="36E95564"/>
    <w:rsid w:val="376D016D"/>
    <w:rsid w:val="45F81237"/>
    <w:rsid w:val="463B6D9F"/>
    <w:rsid w:val="47E46043"/>
    <w:rsid w:val="49E22E0C"/>
    <w:rsid w:val="58D103DA"/>
    <w:rsid w:val="596944DF"/>
    <w:rsid w:val="5FCD691F"/>
    <w:rsid w:val="60775F52"/>
    <w:rsid w:val="655B6952"/>
    <w:rsid w:val="666432A3"/>
    <w:rsid w:val="68905ED2"/>
    <w:rsid w:val="6A8F39E0"/>
    <w:rsid w:val="6C361CC7"/>
    <w:rsid w:val="750C60C0"/>
    <w:rsid w:val="79AD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明显强调1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明显参考1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customStyle="1" w:styleId="35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634</Words>
  <Characters>3285</Characters>
  <Lines>30</Lines>
  <Paragraphs>8</Paragraphs>
  <TotalTime>1</TotalTime>
  <ScaleCrop>false</ScaleCrop>
  <LinksUpToDate>false</LinksUpToDate>
  <CharactersWithSpaces>3906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2026-04-10T06:12:00Z</dcterms:created>
  <dc:creator>Chen Y</dc:creator>
  <cp:lastModifiedBy>TangZH</cp:lastModifiedBy>
  <dcterms:modified xsi:type="dcterms:W3CDTF">2026-04-13T05:15:53Z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eyJoZGlkIjoiMmI4ZWZkMGNiNWRjZjI4MjNkYmM0YzA3ZTQ2OTE5MTUiLCJ1c2VySWQiOiI4MDUwNzg1NDIifQ==</vt:lpwstr>
  </property>
  <property fmtid="{D5CDD505-2E9C-101B-9397-08002B2CF9AE}" pid="3" name="KSOProductBuildVer">
    <vt:lpwstr>2052-12.1.0.17147</vt:lpwstr>
  </property>
  <property fmtid="{D5CDD505-2E9C-101B-9397-08002B2CF9AE}" pid="4" name="ICV">
    <vt:lpwstr>19D143D6618B47DD9726711368F2D854_13</vt:lpwstr>
  </property>
</Properties>
</file>