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180"/>
      </w:pPr>
      <w:r>
        <w:t>Excledge ERP Product Warranty Statement</w:t>
      </w:r>
    </w:p>
    <w:p>
      <w:pPr>
        <w:pStyle w:val="Normal"/>
      </w:pPr>
      <w:r>
        <w:t>Document status: Working template requiring business and legal approval before external issue.</w:t>
      </w:r>
    </w:p>
    <w:p>
      <w:pPr>
        <w:pStyle w:val="Heading1"/>
        <w:spacing w:after="120"/>
      </w:pPr>
      <w:r>
        <w:t>1. Parties</w:t>
      </w:r>
    </w:p>
    <w:p>
      <w:pPr>
        <w:pStyle w:val="Normal"/>
      </w:pPr>
      <w:r>
        <w:t xml:space="preserve">This warranty statement is issued by </w:t>
      </w:r>
      <w:r>
        <w:rPr>
          <w:rStyle w:val="InlineCode"/>
        </w:rPr>
        <w:t>[Supplier Legal Name]</w:t>
      </w:r>
      <w:r>
        <w:t xml:space="preserve"> in relation to the software product known as </w:t>
      </w:r>
      <w:r>
        <w:rPr>
          <w:rStyle w:val="InlineCode"/>
        </w:rPr>
        <w:t>Excledge ERP</w:t>
      </w:r>
      <w:r>
        <w:t xml:space="preserve"> and its approved implementation, deployment files, and accompanying user documentation.</w:t>
      </w:r>
    </w:p>
    <w:p>
      <w:pPr>
        <w:pStyle w:val="Heading1"/>
        <w:spacing w:after="120"/>
      </w:pPr>
      <w:r>
        <w:t>2. Product covered</w:t>
      </w:r>
    </w:p>
    <w:p>
      <w:pPr>
        <w:pStyle w:val="Normal"/>
      </w:pPr>
      <w:r>
        <w:t>The warranty applies to the released version of Excledge ERP delivered to the customer under an executed quotation, contract, subscription agreement, or implementation statement of work, including approved modules such as:</w:t>
      </w:r>
    </w:p>
    <w:p>
      <w:pPr>
        <w:pStyle w:val="ListBullet"/>
        <w:spacing w:after="60"/>
      </w:pPr>
      <w:r>
        <w:t>- inventory management</w:t>
      </w:r>
    </w:p>
    <w:p>
      <w:pPr>
        <w:pStyle w:val="ListBullet"/>
        <w:spacing w:after="60"/>
      </w:pPr>
      <w:r>
        <w:t>- sales and POS</w:t>
      </w:r>
    </w:p>
    <w:p>
      <w:pPr>
        <w:pStyle w:val="ListBullet"/>
        <w:spacing w:after="60"/>
      </w:pPr>
      <w:r>
        <w:t>- customer and supplier management</w:t>
      </w:r>
    </w:p>
    <w:p>
      <w:pPr>
        <w:pStyle w:val="ListBullet"/>
        <w:spacing w:after="60"/>
      </w:pPr>
      <w:r>
        <w:t>- reporting</w:t>
      </w:r>
    </w:p>
    <w:p>
      <w:pPr>
        <w:pStyle w:val="ListBullet"/>
        <w:spacing w:after="60"/>
      </w:pPr>
      <w:r>
        <w:t>- branch and user administration</w:t>
      </w:r>
    </w:p>
    <w:p>
      <w:pPr>
        <w:pStyle w:val="ListBullet"/>
        <w:spacing w:after="60"/>
      </w:pPr>
      <w:r>
        <w:t>- subscription and payment configuration</w:t>
      </w:r>
    </w:p>
    <w:p>
      <w:pPr>
        <w:pStyle w:val="ListBullet"/>
        <w:spacing w:after="60"/>
      </w:pPr>
      <w:r>
        <w:t>- approved integrations specifically listed in the customer agreement</w:t>
      </w:r>
    </w:p>
    <w:p>
      <w:pPr>
        <w:pStyle w:val="Heading1"/>
        <w:spacing w:after="120"/>
      </w:pPr>
      <w:r>
        <w:t>3. Warranty commitment</w:t>
      </w:r>
    </w:p>
    <w:p>
      <w:pPr>
        <w:pStyle w:val="Normal"/>
      </w:pPr>
      <w:r>
        <w:t xml:space="preserve">For the warranty period, </w:t>
      </w:r>
      <w:r>
        <w:rPr>
          <w:rStyle w:val="InlineCode"/>
        </w:rPr>
        <w:t>[Supplier Legal Name]</w:t>
      </w:r>
      <w:r>
        <w:t xml:space="preserve"> warrants that:</w:t>
      </w:r>
    </w:p>
    <w:p>
      <w:pPr>
        <w:pStyle w:val="ListBullet"/>
        <w:spacing w:after="60"/>
      </w:pPr>
      <w:r>
        <w:t>- the software will perform substantially in accordance with the approved user documentation when installed and used in the supported environment</w:t>
      </w:r>
    </w:p>
    <w:p>
      <w:pPr>
        <w:pStyle w:val="ListBullet"/>
        <w:spacing w:after="60"/>
      </w:pPr>
      <w:r>
        <w:t>- the delivered application package will be free from material defects in workmanship that prevent normal intended operation</w:t>
      </w:r>
    </w:p>
    <w:p>
      <w:pPr>
        <w:pStyle w:val="ListBullet"/>
        <w:spacing w:after="60"/>
      </w:pPr>
      <w:r>
        <w:t>- reproducible application defects reported by the customer will be investigated by the supplier</w:t>
      </w:r>
    </w:p>
    <w:p>
      <w:pPr>
        <w:pStyle w:val="ListBullet"/>
        <w:spacing w:after="60"/>
      </w:pPr>
      <w:r>
        <w:t>- confirmed defects attributable to the delivered software will be corrected by patch, configuration adjustment, workaround, or replacement release within commercially reasonable timelines</w:t>
      </w:r>
    </w:p>
    <w:p>
      <w:pPr>
        <w:pStyle w:val="Heading1"/>
        <w:spacing w:after="120"/>
      </w:pPr>
      <w:r>
        <w:t>4. Warranty period</w:t>
      </w:r>
    </w:p>
    <w:p>
      <w:pPr>
        <w:pStyle w:val="Normal"/>
      </w:pPr>
      <w:r>
        <w:t xml:space="preserve">The warranty period shall be </w:t>
      </w:r>
      <w:r>
        <w:rPr>
          <w:rStyle w:val="InlineCode"/>
        </w:rPr>
        <w:t>[Warranty Period, e.g. 12 months]</w:t>
      </w:r>
      <w:r>
        <w:t xml:space="preserve"> starting from </w:t>
      </w:r>
      <w:r>
        <w:rPr>
          <w:rStyle w:val="InlineCode"/>
        </w:rPr>
        <w:t>[Go-Live Date or Acceptance Date]</w:t>
      </w:r>
      <w:r>
        <w:t>.</w:t>
      </w:r>
    </w:p>
    <w:p>
      <w:pPr>
        <w:pStyle w:val="Normal"/>
      </w:pPr>
      <w:r>
        <w:t>If a defect fix is released during the warranty period, the original warranty period continues unless otherwise agreed in writing.</w:t>
      </w:r>
    </w:p>
    <w:p>
      <w:pPr>
        <w:pStyle w:val="Heading1"/>
        <w:spacing w:after="120"/>
      </w:pPr>
      <w:r>
        <w:t>5. Support during warranty</w:t>
      </w:r>
    </w:p>
    <w:p>
      <w:pPr>
        <w:pStyle w:val="Normal"/>
      </w:pPr>
      <w:r>
        <w:t>During the warranty period, the supplier will provide reasonable remote support for verified warranty issues through the approved support channels:</w:t>
      </w:r>
    </w:p>
    <w:p>
      <w:pPr>
        <w:pStyle w:val="ListBullet"/>
        <w:spacing w:after="60"/>
      </w:pPr>
      <w:r>
        <w:t xml:space="preserve">- support email: </w:t>
      </w:r>
      <w:r>
        <w:rPr>
          <w:rStyle w:val="InlineCode"/>
        </w:rPr>
        <w:t>[Support Email]</w:t>
      </w:r>
    </w:p>
    <w:p>
      <w:pPr>
        <w:pStyle w:val="ListBullet"/>
        <w:spacing w:after="60"/>
      </w:pPr>
      <w:r>
        <w:t xml:space="preserve">- support phone: </w:t>
      </w:r>
      <w:r>
        <w:rPr>
          <w:rStyle w:val="InlineCode"/>
        </w:rPr>
        <w:t>[Support Phone]</w:t>
      </w:r>
    </w:p>
    <w:p>
      <w:pPr>
        <w:pStyle w:val="ListBullet"/>
        <w:spacing w:after="60"/>
      </w:pPr>
      <w:r>
        <w:t xml:space="preserve">- support hours: </w:t>
      </w:r>
      <w:r>
        <w:rPr>
          <w:rStyle w:val="InlineCode"/>
        </w:rPr>
        <w:t>[Support Hours and Time Zone]</w:t>
      </w:r>
    </w:p>
    <w:p>
      <w:pPr>
        <w:pStyle w:val="ListBullet"/>
        <w:spacing w:after="60"/>
      </w:pPr>
      <w:r>
        <w:t xml:space="preserve">- escalation contact: </w:t>
      </w:r>
      <w:r>
        <w:rPr>
          <w:rStyle w:val="InlineCode"/>
        </w:rPr>
        <w:t>[Escalation Contact]</w:t>
      </w:r>
    </w:p>
    <w:p>
      <w:pPr>
        <w:pStyle w:val="Heading1"/>
        <w:spacing w:after="120"/>
      </w:pPr>
      <w:r>
        <w:t>6. What is included</w:t>
      </w:r>
    </w:p>
    <w:p>
      <w:pPr>
        <w:pStyle w:val="Normal"/>
      </w:pPr>
      <w:r>
        <w:t>The warranty includes:</w:t>
      </w:r>
    </w:p>
    <w:p>
      <w:pPr>
        <w:pStyle w:val="ListBullet"/>
        <w:spacing w:after="60"/>
      </w:pPr>
      <w:r>
        <w:t>- investigation of software faults that can be reproduced in the supported environment</w:t>
      </w:r>
    </w:p>
    <w:p>
      <w:pPr>
        <w:pStyle w:val="ListBullet"/>
        <w:spacing w:after="60"/>
      </w:pPr>
      <w:r>
        <w:t>- correction of coding or configuration errors introduced by the supplier</w:t>
      </w:r>
    </w:p>
    <w:p>
      <w:pPr>
        <w:pStyle w:val="ListBullet"/>
        <w:spacing w:after="60"/>
      </w:pPr>
      <w:r>
        <w:t>- restoration of service where a product defect materially affects normal operations</w:t>
      </w:r>
    </w:p>
    <w:p>
      <w:pPr>
        <w:pStyle w:val="ListBullet"/>
        <w:spacing w:after="60"/>
      </w:pPr>
      <w:r>
        <w:t>- guidance on applying supplier-issued corrective updates</w:t>
      </w:r>
    </w:p>
    <w:p>
      <w:pPr>
        <w:pStyle w:val="Heading1"/>
        <w:spacing w:after="120"/>
      </w:pPr>
      <w:r>
        <w:t>7. What is excluded</w:t>
      </w:r>
    </w:p>
    <w:p>
      <w:pPr>
        <w:pStyle w:val="Normal"/>
      </w:pPr>
      <w:r>
        <w:t>This warranty does not cover issues caused by:</w:t>
      </w:r>
    </w:p>
    <w:p>
      <w:pPr>
        <w:pStyle w:val="ListBullet"/>
        <w:spacing w:after="60"/>
      </w:pPr>
      <w:r>
        <w:t>- customer or third-party modifications not approved by the supplier</w:t>
      </w:r>
    </w:p>
    <w:p>
      <w:pPr>
        <w:pStyle w:val="ListBullet"/>
        <w:spacing w:after="60"/>
      </w:pPr>
      <w:r>
        <w:t>- use outside the documented operating procedures</w:t>
      </w:r>
    </w:p>
    <w:p>
      <w:pPr>
        <w:pStyle w:val="ListBullet"/>
        <w:spacing w:after="60"/>
      </w:pPr>
      <w:r>
        <w:t>- incorrect installation, unsupported hosting, or misconfigured infrastructure</w:t>
      </w:r>
    </w:p>
    <w:p>
      <w:pPr>
        <w:pStyle w:val="ListBullet"/>
        <w:spacing w:after="60"/>
      </w:pPr>
      <w:r>
        <w:t>- internet outages, power failures, device failures, browser issues, or operating system issues</w:t>
      </w:r>
    </w:p>
    <w:p>
      <w:pPr>
        <w:pStyle w:val="ListBullet"/>
        <w:spacing w:after="60"/>
      </w:pPr>
      <w:r>
        <w:t>- third-party service disruption, including payment gateways, cloud storage, email providers, or government platforms</w:t>
      </w:r>
    </w:p>
    <w:p>
      <w:pPr>
        <w:pStyle w:val="ListBullet"/>
        <w:spacing w:after="60"/>
      </w:pPr>
      <w:r>
        <w:t>- inaccurate customer data, operator error, or unauthorized access</w:t>
      </w:r>
    </w:p>
    <w:p>
      <w:pPr>
        <w:pStyle w:val="ListBullet"/>
        <w:spacing w:after="60"/>
      </w:pPr>
      <w:r>
        <w:t>- force majeure or external regulatory changes</w:t>
      </w:r>
    </w:p>
    <w:p>
      <w:pPr>
        <w:pStyle w:val="ListBullet"/>
        <w:spacing w:after="60"/>
      </w:pPr>
      <w:r>
        <w:t>- features not included in the delivered scope or not enabled in the customer subscription plan</w:t>
      </w:r>
    </w:p>
    <w:p>
      <w:pPr>
        <w:pStyle w:val="Heading1"/>
        <w:spacing w:after="120"/>
      </w:pPr>
      <w:r>
        <w:t>8. Customer responsibilities</w:t>
      </w:r>
    </w:p>
    <w:p>
      <w:pPr>
        <w:pStyle w:val="Normal"/>
      </w:pPr>
      <w:r>
        <w:t>To benefit from this warranty, the customer shall:</w:t>
      </w:r>
    </w:p>
    <w:p>
      <w:pPr>
        <w:pStyle w:val="ListBullet"/>
        <w:spacing w:after="60"/>
      </w:pPr>
      <w:r>
        <w:t>- use the software in accordance with the installation guide and user manual</w:t>
      </w:r>
    </w:p>
    <w:p>
      <w:pPr>
        <w:pStyle w:val="ListBullet"/>
        <w:spacing w:after="60"/>
      </w:pPr>
      <w:r>
        <w:t>- maintain supported infrastructure, browsers, and network connectivity</w:t>
      </w:r>
    </w:p>
    <w:p>
      <w:pPr>
        <w:pStyle w:val="ListBullet"/>
        <w:spacing w:after="60"/>
      </w:pPr>
      <w:r>
        <w:t>- restrict access to authorized users only</w:t>
      </w:r>
    </w:p>
    <w:p>
      <w:pPr>
        <w:pStyle w:val="ListBullet"/>
        <w:spacing w:after="60"/>
      </w:pPr>
      <w:r>
        <w:t>- report incidents with sufficient detail, including screenshots, timestamps, and steps to reproduce</w:t>
      </w:r>
    </w:p>
    <w:p>
      <w:pPr>
        <w:pStyle w:val="ListBullet"/>
        <w:spacing w:after="60"/>
      </w:pPr>
      <w:r>
        <w:t>- apply supplier-provided updates, patches, and security recommendations in a timely manner</w:t>
      </w:r>
    </w:p>
    <w:p>
      <w:pPr>
        <w:pStyle w:val="ListBullet"/>
        <w:spacing w:after="60"/>
      </w:pPr>
      <w:r>
        <w:t>- maintain database backups and security controls unless these services are contractually managed by the supplier</w:t>
      </w:r>
    </w:p>
    <w:p>
      <w:pPr>
        <w:pStyle w:val="Heading1"/>
        <w:spacing w:after="120"/>
      </w:pPr>
      <w:r>
        <w:t>9. Remedy and limitation</w:t>
      </w:r>
    </w:p>
    <w:p>
      <w:pPr>
        <w:pStyle w:val="Normal"/>
      </w:pPr>
      <w:r>
        <w:t>The supplier's obligation under this warranty is limited to:</w:t>
      </w:r>
    </w:p>
    <w:p>
      <w:pPr>
        <w:pStyle w:val="ListBullet"/>
        <w:spacing w:after="60"/>
      </w:pPr>
      <w:r>
        <w:t>- repair of the defect</w:t>
      </w:r>
    </w:p>
    <w:p>
      <w:pPr>
        <w:pStyle w:val="ListBullet"/>
        <w:spacing w:after="60"/>
      </w:pPr>
      <w:r>
        <w:t>- provision of a temporary workaround</w:t>
      </w:r>
    </w:p>
    <w:p>
      <w:pPr>
        <w:pStyle w:val="ListBullet"/>
        <w:spacing w:after="60"/>
      </w:pPr>
      <w:r>
        <w:t>- replacement of the affected software component</w:t>
      </w:r>
    </w:p>
    <w:p>
      <w:pPr>
        <w:pStyle w:val="ListBullet"/>
        <w:spacing w:after="60"/>
      </w:pPr>
      <w:r>
        <w:t>- re-performance of the affected service</w:t>
      </w:r>
    </w:p>
    <w:p>
      <w:pPr>
        <w:pStyle w:val="Normal"/>
      </w:pPr>
      <w:r>
        <w:t>If the supplier is unable to restore materially affected functionality within a reasonable period, the parties may agree on an appropriate service credit or commercial remedy in line with the governing contract.</w:t>
      </w:r>
    </w:p>
    <w:p>
      <w:pPr>
        <w:pStyle w:val="Normal"/>
      </w:pPr>
      <w:r>
        <w:t>Except as expressly stated in the signed contract, this warranty does not guarantee uninterrupted or error-free operation at all times.</w:t>
      </w:r>
    </w:p>
    <w:p>
      <w:pPr>
        <w:pStyle w:val="Heading1"/>
        <w:spacing w:after="120"/>
      </w:pPr>
      <w:r>
        <w:t>10. Non-transferability</w:t>
      </w:r>
    </w:p>
    <w:p>
      <w:pPr>
        <w:pStyle w:val="Normal"/>
      </w:pPr>
      <w:r>
        <w:t xml:space="preserve">This warranty is issued for the benefit of the contracting customer and may not be transferred to another party without written approval from </w:t>
      </w:r>
      <w:r>
        <w:rPr>
          <w:rStyle w:val="InlineCode"/>
        </w:rPr>
        <w:t>[Supplier Legal Name]</w:t>
      </w:r>
      <w:r>
        <w:t>.</w:t>
      </w:r>
    </w:p>
    <w:p>
      <w:pPr>
        <w:pStyle w:val="Heading1"/>
        <w:spacing w:after="120"/>
      </w:pPr>
      <w:r>
        <w:t>11. Governing documents</w:t>
      </w:r>
    </w:p>
    <w:p>
      <w:pPr>
        <w:pStyle w:val="Normal"/>
      </w:pPr>
      <w:r>
        <w:t>Where there is a conflict between this warranty statement and a signed master agreement, subscription agreement, or service-level agreement, the signed agreement shall prevail.</w:t>
      </w:r>
    </w:p>
    <w:p>
      <w:pPr>
        <w:pStyle w:val="Heading1"/>
        <w:spacing w:after="120"/>
      </w:pPr>
      <w:r>
        <w:t>12. Approval</w:t>
      </w:r>
    </w:p>
    <w:p>
      <w:pPr>
        <w:pStyle w:val="Normal"/>
      </w:pPr>
      <w:r>
        <w:t xml:space="preserve">Prepared by: </w:t>
      </w:r>
      <w:r>
        <w:rPr>
          <w:rStyle w:val="InlineCode"/>
        </w:rPr>
        <w:t>[Prepared By]</w:t>
      </w:r>
      <w:r>
        <w:t xml:space="preserve"> Approved by: </w:t>
      </w:r>
      <w:r>
        <w:rPr>
          <w:rStyle w:val="InlineCode"/>
        </w:rPr>
        <w:t>[Approved By]</w:t>
      </w:r>
      <w:r>
        <w:t xml:space="preserve"> Issue date: </w:t>
      </w:r>
      <w:r>
        <w:rPr>
          <w:rStyle w:val="InlineCode"/>
        </w:rPr>
        <w:t>[Issue Date]</w:t>
      </w:r>
      <w:r>
        <w:t xml:space="preserve"> Version: </w:t>
      </w:r>
      <w:r>
        <w:rPr>
          <w:rStyle w:val="InlineCode"/>
        </w:rPr>
        <w:t>[Document Version]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lang w:val="en-US"/>
      </w:rPr>
    </w:rPrDefault>
    <w:pPrDefault>
      <w:pPr>
        <w:spacing w:after="160" w:line="300" w:lineRule="auto"/>
      </w:pPr>
    </w:pPrDefault>
  </w:docDefaults>
  <w:style w:type="paragraph" w:default="1" w:styleId="Normal">
    <w:name w:val="Normal"/>
    <w:qFormat/>
  </w:style>
  <w:style w:type="paragraph" w:styleId="Title">
    <w:name w:val="Title"/>
    <w:basedOn w:val="Normal"/>
    <w:qFormat/>
    <w:pPr>
      <w:spacing w:after="220"/>
    </w:pPr>
    <w:rPr>
      <w:b/>
      <w:sz w:val="36"/>
      <w:szCs w:val="36"/>
    </w:rPr>
  </w:style>
  <w:style w:type="paragraph" w:styleId="Heading1">
    <w:name w:val="Heading 1"/>
    <w:basedOn w:val="Normal"/>
    <w:qFormat/>
    <w:pPr>
      <w:spacing w:before="220" w:after="120"/>
    </w:pPr>
    <w:rPr>
      <w:b/>
      <w:sz w:val="28"/>
      <w:szCs w:val="28"/>
    </w:rPr>
  </w:style>
  <w:style w:type="paragraph" w:styleId="Heading2">
    <w:name w:val="Heading 2"/>
    <w:basedOn w:val="Normal"/>
    <w:qFormat/>
    <w:pPr>
      <w:spacing w:before="180" w:after="80"/>
    </w:pPr>
    <w:rPr>
      <w:b/>
      <w:sz w:val="24"/>
      <w:szCs w:val="24"/>
    </w:rPr>
  </w:style>
  <w:style w:type="paragraph" w:styleId="ListBullet">
    <w:name w:val="List Bullet"/>
    <w:basedOn w:val="Normal"/>
    <w:pPr>
      <w:ind w:left="540" w:hanging="240"/>
      <w:spacing w:after="60"/>
    </w:pPr>
  </w:style>
  <w:style w:type="paragraph" w:styleId="ListNumber">
    <w:name w:val="List Number"/>
    <w:basedOn w:val="Normal"/>
    <w:pPr>
      <w:ind w:left="540" w:hanging="240"/>
      <w:spacing w:after="60"/>
    </w:pPr>
  </w:style>
  <w:style w:type="paragraph" w:styleId="CodeBlock">
    <w:name w:val="Code Block"/>
    <w:basedOn w:val="Normal"/>
    <w:pPr>
      <w:ind w:left="360" w:right="360"/>
      <w:spacing w:before="0" w:after="0"/>
      <w:shd w:fill="F3F4F6"/>
    </w:pPr>
    <w:rPr>
      <w:rFonts w:ascii="Courier New" w:hAnsi="Courier New"/>
      <w:sz w:val="20"/>
      <w:szCs w:val="20"/>
    </w:rPr>
  </w:style>
  <w:style w:type="paragraph" w:styleId="CodeBlockSpacer">
    <w:name w:val="Code Block Spacer"/>
    <w:basedOn w:val="CodeBlock"/>
    <w:pPr>
      <w:spacing w:after="120"/>
    </w:pPr>
    <w:rPr>
      <w:rFonts w:ascii="Courier New" w:hAnsi="Courier New"/>
      <w:sz w:val="8"/>
      <w:szCs w:val="8"/>
    </w:rPr>
  </w:style>
  <w:style w:type="character" w:styleId="InlineCode">
    <w:name w:val="Inline Code"/>
    <w:rPr>
      <w:rFonts w:ascii="Courier New" w:hAnsi="Courier New"/>
      <w:sz w:val="20"/>
      <w:szCs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Company>TangaHub</Company>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Excledge ERP Product Warranty Statement</dc:title>
  <dc:subject>Product Documentation</dc:subject>
  <dc:creator>OpenAI Codex</dc:creator>
  <cp:lastModifiedBy>OpenAI Codex</cp:lastModifiedBy>
  <dcterms:created xsi:type="dcterms:W3CDTF">2026-04-10T07:51:21Z</dcterms:created>
  <dcterms:modified xsi:type="dcterms:W3CDTF">2026-04-10T07:51:21Z</dcterms:modified>
</cp:coreProperties>
</file>