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  <w:spacing w:after="180"/>
      </w:pPr>
      <w:r>
        <w:t>Excledge ERP Programming and Configuration Manual</w:t>
      </w:r>
    </w:p>
    <w:p>
      <w:pPr>
        <w:pStyle w:val="Heading1"/>
        <w:spacing w:after="120"/>
      </w:pPr>
      <w:r>
        <w:t>1. Purpose</w:t>
      </w:r>
    </w:p>
    <w:p>
      <w:pPr>
        <w:pStyle w:val="Normal"/>
      </w:pPr>
      <w:r>
        <w:t>This manual is intended for developers, DevOps engineers, integrators, and technical administrators responsible for extending, deploying, or configuring Excledge ERP.</w:t>
      </w:r>
    </w:p>
    <w:p>
      <w:pPr>
        <w:pStyle w:val="Heading1"/>
        <w:spacing w:after="120"/>
      </w:pPr>
      <w:r>
        <w:t>2. Current technical stack</w:t>
      </w:r>
    </w:p>
    <w:p>
      <w:pPr>
        <w:pStyle w:val="Heading2"/>
        <w:spacing w:after="80"/>
      </w:pPr>
      <w:r>
        <w:t>Frontend</w:t>
      </w:r>
    </w:p>
    <w:p>
      <w:pPr>
        <w:pStyle w:val="ListBullet"/>
        <w:spacing w:after="60"/>
      </w:pPr>
      <w:r>
        <w:t>- React 19</w:t>
      </w:r>
    </w:p>
    <w:p>
      <w:pPr>
        <w:pStyle w:val="ListBullet"/>
        <w:spacing w:after="60"/>
      </w:pPr>
      <w:r>
        <w:t>- TypeScript</w:t>
      </w:r>
    </w:p>
    <w:p>
      <w:pPr>
        <w:pStyle w:val="ListBullet"/>
        <w:spacing w:after="60"/>
      </w:pPr>
      <w:r>
        <w:t>- Vite</w:t>
      </w:r>
    </w:p>
    <w:p>
      <w:pPr>
        <w:pStyle w:val="ListBullet"/>
        <w:spacing w:after="60"/>
      </w:pPr>
      <w:r>
        <w:t>- Tailwind CSS</w:t>
      </w:r>
    </w:p>
    <w:p>
      <w:pPr>
        <w:pStyle w:val="ListBullet"/>
        <w:spacing w:after="60"/>
      </w:pPr>
      <w:r>
        <w:t>- Radix UI</w:t>
      </w:r>
    </w:p>
    <w:p>
      <w:pPr>
        <w:pStyle w:val="ListBullet"/>
        <w:spacing w:after="60"/>
      </w:pPr>
      <w:r>
        <w:t>- React Router</w:t>
      </w:r>
    </w:p>
    <w:p>
      <w:pPr>
        <w:pStyle w:val="ListBullet"/>
        <w:spacing w:after="60"/>
      </w:pPr>
      <w:r>
        <w:t>- React Hook Form</w:t>
      </w:r>
    </w:p>
    <w:p>
      <w:pPr>
        <w:pStyle w:val="ListBullet"/>
        <w:spacing w:after="60"/>
      </w:pPr>
      <w:r>
        <w:t>- TanStack React Query</w:t>
      </w:r>
    </w:p>
    <w:p>
      <w:pPr>
        <w:pStyle w:val="ListBullet"/>
        <w:spacing w:after="60"/>
      </w:pPr>
      <w:r>
        <w:t>- Socket.IO client</w:t>
      </w:r>
    </w:p>
    <w:p>
      <w:pPr>
        <w:pStyle w:val="Heading2"/>
        <w:spacing w:after="80"/>
      </w:pPr>
      <w:r>
        <w:t>Backend</w:t>
      </w:r>
    </w:p>
    <w:p>
      <w:pPr>
        <w:pStyle w:val="ListBullet"/>
        <w:spacing w:after="60"/>
      </w:pPr>
      <w:r>
        <w:t>- Node.js</w:t>
      </w:r>
    </w:p>
    <w:p>
      <w:pPr>
        <w:pStyle w:val="ListBullet"/>
        <w:spacing w:after="60"/>
      </w:pPr>
      <w:r>
        <w:t>- Express</w:t>
      </w:r>
    </w:p>
    <w:p>
      <w:pPr>
        <w:pStyle w:val="ListBullet"/>
        <w:spacing w:after="60"/>
      </w:pPr>
      <w:r>
        <w:t>- TypeScript</w:t>
      </w:r>
    </w:p>
    <w:p>
      <w:pPr>
        <w:pStyle w:val="ListBullet"/>
        <w:spacing w:after="60"/>
      </w:pPr>
      <w:r>
        <w:t>- Prisma ORM</w:t>
      </w:r>
    </w:p>
    <w:p>
      <w:pPr>
        <w:pStyle w:val="ListBullet"/>
        <w:spacing w:after="60"/>
      </w:pPr>
      <w:r>
        <w:t>- PostgreSQL</w:t>
      </w:r>
    </w:p>
    <w:p>
      <w:pPr>
        <w:pStyle w:val="ListBullet"/>
        <w:spacing w:after="60"/>
      </w:pPr>
      <w:r>
        <w:t>- JWT authentication</w:t>
      </w:r>
    </w:p>
    <w:p>
      <w:pPr>
        <w:pStyle w:val="ListBullet"/>
        <w:spacing w:after="60"/>
      </w:pPr>
      <w:r>
        <w:t>- Socket.IO</w:t>
      </w:r>
    </w:p>
    <w:p>
      <w:pPr>
        <w:pStyle w:val="ListBullet"/>
        <w:spacing w:after="60"/>
      </w:pPr>
      <w:r>
        <w:t>- cron-based background jobs</w:t>
      </w:r>
    </w:p>
    <w:p>
      <w:pPr>
        <w:pStyle w:val="Heading1"/>
        <w:spacing w:after="120"/>
      </w:pPr>
      <w:r>
        <w:t>3. High-level architecture</w:t>
      </w:r>
    </w:p>
    <w:p>
      <w:pPr>
        <w:pStyle w:val="Normal"/>
      </w:pPr>
      <w:r>
        <w:t>The repository is organized around two main applications: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Frontend/</w:t>
      </w:r>
      <w:r>
        <w:t>: browser UI, routing, forms, dashboards, POS, reports, and client-side integrations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Backend/</w:t>
      </w:r>
      <w:r>
        <w:t>: REST API, authentication, business logic, background jobs, and data persistence</w:t>
      </w:r>
    </w:p>
    <w:p>
      <w:pPr>
        <w:pStyle w:val="Normal"/>
      </w:pPr>
      <w:r>
        <w:t>Key runtime flow:</w:t>
      </w:r>
    </w:p>
    <w:p>
      <w:pPr>
        <w:pStyle w:val="ListNumber"/>
        <w:spacing w:after="60"/>
      </w:pPr>
      <w:r>
        <w:t>1. the frontend authenticates users against backend auth endpoints</w:t>
      </w:r>
    </w:p>
    <w:p>
      <w:pPr>
        <w:pStyle w:val="ListNumber"/>
        <w:spacing w:after="60"/>
      </w:pPr>
      <w:r>
        <w:t>2. the backend issues access and refresh tokens</w:t>
      </w:r>
    </w:p>
    <w:p>
      <w:pPr>
        <w:pStyle w:val="ListNumber"/>
        <w:spacing w:after="60"/>
      </w:pPr>
      <w:r>
        <w:t>3. organization and branch context determine available data</w:t>
      </w:r>
    </w:p>
    <w:p>
      <w:pPr>
        <w:pStyle w:val="ListNumber"/>
        <w:spacing w:after="60"/>
      </w:pPr>
      <w:r>
        <w:t>4. backend services read and write PostgreSQL through Prisma</w:t>
      </w:r>
    </w:p>
    <w:p>
      <w:pPr>
        <w:pStyle w:val="ListNumber"/>
        <w:spacing w:after="60"/>
      </w:pPr>
      <w:r>
        <w:t>5. real-time notifications are emitted through Socket.IO rooms</w:t>
      </w:r>
    </w:p>
    <w:p>
      <w:pPr>
        <w:pStyle w:val="ListNumber"/>
        <w:spacing w:after="60"/>
      </w:pPr>
      <w:r>
        <w:t>6. optional integrations handle payments, email, uploads, and EBM submissions</w:t>
      </w:r>
    </w:p>
    <w:p>
      <w:pPr>
        <w:pStyle w:val="Heading1"/>
        <w:spacing w:after="120"/>
      </w:pPr>
      <w:r>
        <w:t>4. Core domain model</w:t>
      </w:r>
    </w:p>
    <w:p>
      <w:pPr>
        <w:pStyle w:val="Normal"/>
      </w:pPr>
      <w:r>
        <w:t>Important entities defined in the Prisma schema include: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Organization</w:t>
      </w:r>
      <w:r>
        <w:t>: tenant boundary for data ownership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Branch</w:t>
      </w:r>
      <w:r>
        <w:t>: branch-level operational partitioning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User</w:t>
      </w:r>
      <w:r>
        <w:t xml:space="preserve"> and </w:t>
      </w:r>
      <w:r>
        <w:rPr>
          <w:rStyle w:val="InlineCode"/>
        </w:rPr>
        <w:t>UserOrganization</w:t>
      </w:r>
      <w:r>
        <w:t>: users and organization membership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UserBranch</w:t>
      </w:r>
      <w:r>
        <w:t>: branch assignment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Product</w:t>
      </w:r>
      <w:r>
        <w:t>: sellable inventory item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Batch</w:t>
      </w:r>
      <w:r>
        <w:t>: stock received with unit cost, batch number, and optional expiry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InventoryLedger</w:t>
      </w:r>
      <w:r>
        <w:t>: audit-style stock movement ledger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Sale</w:t>
      </w:r>
      <w:r>
        <w:t xml:space="preserve"> and </w:t>
      </w:r>
      <w:r>
        <w:rPr>
          <w:rStyle w:val="InlineCode"/>
        </w:rPr>
        <w:t>SaleItem</w:t>
      </w:r>
      <w:r>
        <w:t>: POS and transaction records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Customer</w:t>
      </w:r>
      <w:r>
        <w:t xml:space="preserve"> and </w:t>
      </w:r>
      <w:r>
        <w:rPr>
          <w:rStyle w:val="InlineCode"/>
        </w:rPr>
        <w:t>DebtPayment</w:t>
      </w:r>
      <w:r>
        <w:t>: customer tracking and collections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Supplier</w:t>
      </w:r>
      <w:r>
        <w:t xml:space="preserve">, </w:t>
      </w:r>
      <w:r>
        <w:rPr>
          <w:rStyle w:val="InlineCode"/>
        </w:rPr>
        <w:t>PurchaseOrder</w:t>
      </w:r>
      <w:r>
        <w:t xml:space="preserve">, and </w:t>
      </w:r>
      <w:r>
        <w:rPr>
          <w:rStyle w:val="InlineCode"/>
        </w:rPr>
        <w:t>SupplierPayment</w:t>
      </w:r>
      <w:r>
        <w:t>: purchasing workflows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Subscription</w:t>
      </w:r>
      <w:r>
        <w:t xml:space="preserve">, </w:t>
      </w:r>
      <w:r>
        <w:rPr>
          <w:rStyle w:val="InlineCode"/>
        </w:rPr>
        <w:t>SubscriptionPlan</w:t>
      </w:r>
      <w:r>
        <w:t xml:space="preserve">, and </w:t>
      </w:r>
      <w:r>
        <w:rPr>
          <w:rStyle w:val="InlineCode"/>
        </w:rPr>
        <w:t>Payment</w:t>
      </w:r>
      <w:r>
        <w:t>: subscription management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EbmTransaction</w:t>
      </w:r>
      <w:r>
        <w:t xml:space="preserve"> and </w:t>
      </w:r>
      <w:r>
        <w:rPr>
          <w:rStyle w:val="InlineCode"/>
        </w:rPr>
        <w:t>EbmQueue</w:t>
      </w:r>
      <w:r>
        <w:t>: EBM/VSDC submission tracking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ActivityLog</w:t>
      </w:r>
      <w:r>
        <w:t xml:space="preserve">, </w:t>
      </w:r>
      <w:r>
        <w:rPr>
          <w:rStyle w:val="InlineCode"/>
        </w:rPr>
        <w:t>Notification</w:t>
      </w:r>
      <w:r>
        <w:t xml:space="preserve">, </w:t>
      </w:r>
      <w:r>
        <w:rPr>
          <w:rStyle w:val="InlineCode"/>
        </w:rPr>
        <w:t>Expense</w:t>
      </w:r>
      <w:r>
        <w:t xml:space="preserve">, and </w:t>
      </w:r>
      <w:r>
        <w:rPr>
          <w:rStyle w:val="InlineCode"/>
        </w:rPr>
        <w:t>CashBalance</w:t>
      </w:r>
      <w:r>
        <w:t>: operational oversight data</w:t>
      </w:r>
    </w:p>
    <w:p>
      <w:pPr>
        <w:pStyle w:val="Heading1"/>
        <w:spacing w:after="120"/>
      </w:pPr>
      <w:r>
        <w:t>5. API structure</w:t>
      </w:r>
    </w:p>
    <w:p>
      <w:pPr>
        <w:pStyle w:val="Normal"/>
      </w:pPr>
      <w:r>
        <w:t xml:space="preserve">The backend registers route groups under </w:t>
      </w:r>
      <w:r>
        <w:rPr>
          <w:rStyle w:val="InlineCode"/>
        </w:rPr>
        <w:t>/api</w:t>
      </w:r>
      <w:r>
        <w:t>: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/api/auth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/api/organizations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/api/dashboard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/api/sales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/api/inventory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/api/customers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/api/users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/api/reports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/api/system-owner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/api/subscriptions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/api/debt-payments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/api/suppliers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/api/purchase-orders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/api/activity-logs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/api/notifications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/api/pesapal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/api/upload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/api/batches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/api/branches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/api/expenses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/api/supplier-payments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/api/stock-transfers</w:t>
      </w:r>
    </w:p>
    <w:p>
      <w:pPr>
        <w:pStyle w:val="Normal"/>
      </w:pPr>
      <w:r>
        <w:t>Webhook traffic is registered separately under: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/api/webhooks</w:t>
      </w:r>
    </w:p>
    <w:p>
      <w:pPr>
        <w:pStyle w:val="Normal"/>
      </w:pPr>
      <w:r>
        <w:t>Health check: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/health</w:t>
      </w:r>
    </w:p>
    <w:p>
      <w:pPr>
        <w:pStyle w:val="Heading1"/>
        <w:spacing w:after="120"/>
      </w:pPr>
      <w:r>
        <w:t>6. Authentication and authorization</w:t>
      </w:r>
    </w:p>
    <w:p>
      <w:pPr>
        <w:pStyle w:val="Normal"/>
      </w:pPr>
      <w:r>
        <w:t>Authentication model:</w:t>
      </w:r>
    </w:p>
    <w:p>
      <w:pPr>
        <w:pStyle w:val="ListBullet"/>
        <w:spacing w:after="60"/>
      </w:pPr>
      <w:r>
        <w:t>- JWT access token</w:t>
      </w:r>
    </w:p>
    <w:p>
      <w:pPr>
        <w:pStyle w:val="ListBullet"/>
        <w:spacing w:after="60"/>
      </w:pPr>
      <w:r>
        <w:t>- refresh token flow</w:t>
      </w:r>
    </w:p>
    <w:p>
      <w:pPr>
        <w:pStyle w:val="ListBullet"/>
        <w:spacing w:after="60"/>
      </w:pPr>
      <w:r>
        <w:t>- bearer token authentication on API requests</w:t>
      </w:r>
    </w:p>
    <w:p>
      <w:pPr>
        <w:pStyle w:val="Normal"/>
      </w:pPr>
      <w:r>
        <w:t>Authorization model:</w:t>
      </w:r>
    </w:p>
    <w:p>
      <w:pPr>
        <w:pStyle w:val="ListBullet"/>
        <w:spacing w:after="60"/>
      </w:pPr>
      <w:r>
        <w:t>- role-based permissions</w:t>
      </w:r>
    </w:p>
    <w:p>
      <w:pPr>
        <w:pStyle w:val="ListBullet"/>
        <w:spacing w:after="60"/>
      </w:pPr>
      <w:r>
        <w:t>- organization access checks</w:t>
      </w:r>
    </w:p>
    <w:p>
      <w:pPr>
        <w:pStyle w:val="ListBullet"/>
        <w:spacing w:after="60"/>
      </w:pPr>
      <w:r>
        <w:t>- branch-aware operations</w:t>
      </w:r>
    </w:p>
    <w:p>
      <w:pPr>
        <w:pStyle w:val="ListBullet"/>
        <w:spacing w:after="60"/>
      </w:pPr>
      <w:r>
        <w:t>- subscription feature checks for selected routes</w:t>
      </w:r>
    </w:p>
    <w:p>
      <w:pPr>
        <w:pStyle w:val="Normal"/>
      </w:pPr>
      <w:r>
        <w:t>Frontend behavior:</w:t>
      </w:r>
    </w:p>
    <w:p>
      <w:pPr>
        <w:pStyle w:val="ListBullet"/>
        <w:spacing w:after="60"/>
      </w:pPr>
      <w:r>
        <w:t>- access tokens are stored in local storage</w:t>
      </w:r>
    </w:p>
    <w:p>
      <w:pPr>
        <w:pStyle w:val="ListBullet"/>
        <w:spacing w:after="60"/>
      </w:pPr>
      <w:r>
        <w:t>- refresh tokens are used to silently obtain new access tokens</w:t>
      </w:r>
    </w:p>
    <w:p>
      <w:pPr>
        <w:pStyle w:val="ListBullet"/>
        <w:spacing w:after="60"/>
      </w:pPr>
      <w:r>
        <w:t>- organization switching updates the stored tenant context</w:t>
      </w:r>
    </w:p>
    <w:p>
      <w:pPr>
        <w:pStyle w:val="Heading1"/>
        <w:spacing w:after="120"/>
      </w:pPr>
      <w:r>
        <w:t>7. Frontend configuration</w:t>
      </w:r>
    </w:p>
    <w:p>
      <w:pPr>
        <w:pStyle w:val="Normal"/>
      </w:pPr>
      <w:r>
        <w:t>Current frontend environment variables observed in the codebase:</w:t>
      </w:r>
    </w:p>
    <w:p>
      <w:pPr>
        <w:pStyle w:val="Normal"/>
      </w:pPr>
      <w:r>
        <w:t xml:space="preserve">| Variable | Purpose | | --- | --- | | </w:t>
      </w:r>
      <w:r>
        <w:rPr>
          <w:rStyle w:val="InlineCode"/>
        </w:rPr>
        <w:t>VITE_PUBLIC_API_URL</w:t>
      </w:r>
      <w:r>
        <w:t xml:space="preserve"> | Base URL for API calls. Should include </w:t>
      </w:r>
      <w:r>
        <w:rPr>
          <w:rStyle w:val="InlineCode"/>
        </w:rPr>
        <w:t>/api</w:t>
      </w:r>
      <w:r>
        <w:t xml:space="preserve">. | | </w:t>
      </w:r>
      <w:r>
        <w:rPr>
          <w:rStyle w:val="InlineCode"/>
        </w:rPr>
        <w:t>VITE_WS_URL</w:t>
      </w:r>
      <w:r>
        <w:t xml:space="preserve"> | Base URL for Socket.IO connections. | | </w:t>
      </w:r>
      <w:r>
        <w:rPr>
          <w:rStyle w:val="InlineCode"/>
        </w:rPr>
        <w:t>VITE_APP_URL</w:t>
      </w:r>
      <w:r>
        <w:t xml:space="preserve"> | Frontend origin used in callback and redirect flows. | | </w:t>
      </w:r>
      <w:r>
        <w:rPr>
          <w:rStyle w:val="InlineCode"/>
        </w:rPr>
        <w:t>VITE_CONTACT_FORM_SCRIPT_ID</w:t>
      </w:r>
      <w:r>
        <w:t xml:space="preserve"> | Optional Google Apps Script ID for the landing page contact form. |</w:t>
      </w:r>
    </w:p>
    <w:p>
      <w:pPr>
        <w:pStyle w:val="Normal"/>
      </w:pPr>
      <w:r>
        <w:t>Recommended local example:</w:t>
      </w:r>
    </w:p>
    <w:p>
      <w:pPr>
        <w:pStyle w:val="CodeBlock"/>
        <w:spacing w:after="0"/>
      </w:pPr>
      <w:r>
        <w:t>VITE_PUBLIC_API_URL=http://localhost:5000/api</w:t>
      </w:r>
    </w:p>
    <w:p>
      <w:pPr>
        <w:pStyle w:val="CodeBlock"/>
        <w:spacing w:after="0"/>
      </w:pPr>
      <w:r>
        <w:t>VITE_WS_URL=http://localhost:5000</w:t>
      </w:r>
    </w:p>
    <w:p>
      <w:pPr>
        <w:pStyle w:val="CodeBlock"/>
        <w:spacing w:after="0"/>
      </w:pPr>
      <w:r>
        <w:t>VITE_APP_URL=http://localhost:5173</w:t>
      </w:r>
    </w:p>
    <w:p>
      <w:pPr>
        <w:pStyle w:val="CodeBlock"/>
        <w:spacing w:after="0"/>
      </w:pPr>
      <w:r>
        <w:t>VITE_CONTACT_FORM_SCRIPT_ID=</w:t>
      </w:r>
    </w:p>
    <w:p>
      <w:pPr>
        <w:pStyle w:val="CodeBlockSpacer"/>
        <w:spacing w:after="120"/>
      </w:pPr>
      <w:r>
        <w:t xml:space="preserve"> </w:t>
      </w:r>
    </w:p>
    <w:p>
      <w:pPr>
        <w:pStyle w:val="Heading1"/>
        <w:spacing w:after="120"/>
      </w:pPr>
      <w:r>
        <w:t>8. Backend configuration</w:t>
      </w:r>
    </w:p>
    <w:p>
      <w:pPr>
        <w:pStyle w:val="Heading2"/>
        <w:spacing w:after="80"/>
      </w:pPr>
      <w:r>
        <w:t>8.1 Core application variables</w:t>
      </w:r>
    </w:p>
    <w:p>
      <w:pPr>
        <w:pStyle w:val="Normal"/>
      </w:pPr>
      <w:r>
        <w:t xml:space="preserve">| Variable | Purpose | | --- | --- | | </w:t>
      </w:r>
      <w:r>
        <w:rPr>
          <w:rStyle w:val="InlineCode"/>
        </w:rPr>
        <w:t>PORT</w:t>
      </w:r>
      <w:r>
        <w:t xml:space="preserve"> | Backend listening port. Defaults to </w:t>
      </w:r>
      <w:r>
        <w:rPr>
          <w:rStyle w:val="InlineCode"/>
        </w:rPr>
        <w:t>5000</w:t>
      </w:r>
      <w:r>
        <w:t xml:space="preserve">. | | </w:t>
      </w:r>
      <w:r>
        <w:rPr>
          <w:rStyle w:val="InlineCode"/>
        </w:rPr>
        <w:t>NODE_ENV</w:t>
      </w:r>
      <w:r>
        <w:t xml:space="preserve"> | Runtime mode. | | </w:t>
      </w:r>
      <w:r>
        <w:rPr>
          <w:rStyle w:val="InlineCode"/>
        </w:rPr>
        <w:t>RUN_JOBS</w:t>
      </w:r>
      <w:r>
        <w:t xml:space="preserve"> | Enables or disables cron jobs. | | </w:t>
      </w:r>
      <w:r>
        <w:rPr>
          <w:rStyle w:val="InlineCode"/>
        </w:rPr>
        <w:t>DATABASE_URL</w:t>
      </w:r>
      <w:r>
        <w:t xml:space="preserve"> | PostgreSQL connection string. | | </w:t>
      </w:r>
      <w:r>
        <w:rPr>
          <w:rStyle w:val="InlineCode"/>
        </w:rPr>
        <w:t>JWT_SECRET</w:t>
      </w:r>
      <w:r>
        <w:t xml:space="preserve"> | Required for access and refresh token signing. | | </w:t>
      </w:r>
      <w:r>
        <w:rPr>
          <w:rStyle w:val="InlineCode"/>
        </w:rPr>
        <w:t>FRONTEND_URL</w:t>
      </w:r>
      <w:r>
        <w:t xml:space="preserve"> | Allowed frontend origin for CORS and redirects. | | </w:t>
      </w:r>
      <w:r>
        <w:rPr>
          <w:rStyle w:val="InlineCode"/>
        </w:rPr>
        <w:t>API_URL</w:t>
      </w:r>
      <w:r>
        <w:t xml:space="preserve"> | General backend URL reference. |</w:t>
      </w:r>
    </w:p>
    <w:p>
      <w:pPr>
        <w:pStyle w:val="Heading2"/>
        <w:spacing w:after="80"/>
      </w:pPr>
      <w:r>
        <w:t>8.2 Email and media</w:t>
      </w:r>
    </w:p>
    <w:p>
      <w:pPr>
        <w:pStyle w:val="Normal"/>
      </w:pPr>
      <w:r>
        <w:t xml:space="preserve">| Variable | Purpose | | --- | --- | | </w:t>
      </w:r>
      <w:r>
        <w:rPr>
          <w:rStyle w:val="InlineCode"/>
        </w:rPr>
        <w:t>EMAIL_HOST</w:t>
      </w:r>
      <w:r>
        <w:t xml:space="preserve"> | SMTP host | | </w:t>
      </w:r>
      <w:r>
        <w:rPr>
          <w:rStyle w:val="InlineCode"/>
        </w:rPr>
        <w:t>EMAIL_PORT</w:t>
      </w:r>
      <w:r>
        <w:t xml:space="preserve"> | SMTP port | | </w:t>
      </w:r>
      <w:r>
        <w:rPr>
          <w:rStyle w:val="InlineCode"/>
        </w:rPr>
        <w:t>EMAIL_USER</w:t>
      </w:r>
      <w:r>
        <w:t xml:space="preserve"> | SMTP username | | </w:t>
      </w:r>
      <w:r>
        <w:rPr>
          <w:rStyle w:val="InlineCode"/>
        </w:rPr>
        <w:t>EMAIL_PASSWORD</w:t>
      </w:r>
      <w:r>
        <w:t xml:space="preserve"> | SMTP password | | </w:t>
      </w:r>
      <w:r>
        <w:rPr>
          <w:rStyle w:val="InlineCode"/>
        </w:rPr>
        <w:t>EMAIL_FROM</w:t>
      </w:r>
      <w:r>
        <w:t xml:space="preserve"> | Default sender | | </w:t>
      </w:r>
      <w:r>
        <w:rPr>
          <w:rStyle w:val="InlineCode"/>
        </w:rPr>
        <w:t>CLOUDINARY_CLOUD_NAME</w:t>
      </w:r>
      <w:r>
        <w:t xml:space="preserve"> | Cloudinary cloud name | | </w:t>
      </w:r>
      <w:r>
        <w:rPr>
          <w:rStyle w:val="InlineCode"/>
        </w:rPr>
        <w:t>CLOUDINARY_API_KEY</w:t>
      </w:r>
      <w:r>
        <w:t xml:space="preserve"> | Cloudinary API key | | </w:t>
      </w:r>
      <w:r>
        <w:rPr>
          <w:rStyle w:val="InlineCode"/>
        </w:rPr>
        <w:t>CLOUDINARY_API_SECRET</w:t>
      </w:r>
      <w:r>
        <w:t xml:space="preserve"> | Cloudinary API secret |</w:t>
      </w:r>
    </w:p>
    <w:p>
      <w:pPr>
        <w:pStyle w:val="Heading2"/>
        <w:spacing w:after="80"/>
      </w:pPr>
      <w:r>
        <w:t>8.3 Payment and billing integrations</w:t>
      </w:r>
    </w:p>
    <w:p>
      <w:pPr>
        <w:pStyle w:val="Normal"/>
      </w:pPr>
      <w:r>
        <w:t xml:space="preserve">| Variable | Purpose | | --- | --- | | </w:t>
      </w:r>
      <w:r>
        <w:rPr>
          <w:rStyle w:val="InlineCode"/>
        </w:rPr>
        <w:t>STRIPE_SECRET_KEY</w:t>
      </w:r>
      <w:r>
        <w:t xml:space="preserve"> | Stripe server-side secret | | </w:t>
      </w:r>
      <w:r>
        <w:rPr>
          <w:rStyle w:val="InlineCode"/>
        </w:rPr>
        <w:t>STRIPE_WEBHOOK_SECRET</w:t>
      </w:r>
      <w:r>
        <w:t xml:space="preserve"> | Stripe webhook verification secret | | </w:t>
      </w:r>
      <w:r>
        <w:rPr>
          <w:rStyle w:val="InlineCode"/>
        </w:rPr>
        <w:t>PAYPACK_CLIENT_ID</w:t>
      </w:r>
      <w:r>
        <w:t xml:space="preserve"> | Paypack client credential | | </w:t>
      </w:r>
      <w:r>
        <w:rPr>
          <w:rStyle w:val="InlineCode"/>
        </w:rPr>
        <w:t>PAYPACK_CLIENT_SECRET</w:t>
      </w:r>
      <w:r>
        <w:t xml:space="preserve"> | Paypack client credential | | </w:t>
      </w:r>
      <w:r>
        <w:rPr>
          <w:rStyle w:val="InlineCode"/>
        </w:rPr>
        <w:t>PAYPACK_BASE_URL</w:t>
      </w:r>
      <w:r>
        <w:t xml:space="preserve"> | Paypack API base URL | | </w:t>
      </w:r>
      <w:r>
        <w:rPr>
          <w:rStyle w:val="InlineCode"/>
        </w:rPr>
        <w:t>PAYPACK_API_KEY</w:t>
      </w:r>
      <w:r>
        <w:t xml:space="preserve"> | Alternate bearer token used in one payment flow | | </w:t>
      </w:r>
      <w:r>
        <w:rPr>
          <w:rStyle w:val="InlineCode"/>
        </w:rPr>
        <w:t>PAYPACK_WEBHOOK_SECRET</w:t>
      </w:r>
      <w:r>
        <w:t xml:space="preserve"> | Paypack webhook signature secret | | </w:t>
      </w:r>
      <w:r>
        <w:rPr>
          <w:rStyle w:val="InlineCode"/>
        </w:rPr>
        <w:t>PESAPAL_CONSUMER_KEY</w:t>
      </w:r>
      <w:r>
        <w:t xml:space="preserve"> | Pesapal credential | | </w:t>
      </w:r>
      <w:r>
        <w:rPr>
          <w:rStyle w:val="InlineCode"/>
        </w:rPr>
        <w:t>PESAPAL_CONSUMER_SECRET</w:t>
      </w:r>
      <w:r>
        <w:t xml:space="preserve"> | Pesapal credential | | </w:t>
      </w:r>
      <w:r>
        <w:rPr>
          <w:rStyle w:val="InlineCode"/>
        </w:rPr>
        <w:t>PESAPAL_API_URL</w:t>
      </w:r>
      <w:r>
        <w:t xml:space="preserve"> | Pesapal base URL | | </w:t>
      </w:r>
      <w:r>
        <w:rPr>
          <w:rStyle w:val="InlineCode"/>
        </w:rPr>
        <w:t>PESAPAL_IPN_ID</w:t>
      </w:r>
      <w:r>
        <w:t xml:space="preserve"> | Pesapal notification identifier | | </w:t>
      </w:r>
      <w:r>
        <w:rPr>
          <w:rStyle w:val="InlineCode"/>
        </w:rPr>
        <w:t>DPO_COMPANY_TOKEN</w:t>
      </w:r>
      <w:r>
        <w:t xml:space="preserve"> | DPO integration token | | </w:t>
      </w:r>
      <w:r>
        <w:rPr>
          <w:rStyle w:val="InlineCode"/>
        </w:rPr>
        <w:t>DPO_SERVICE_TYPE</w:t>
      </w:r>
      <w:r>
        <w:t xml:space="preserve"> | DPO service type | | </w:t>
      </w:r>
      <w:r>
        <w:rPr>
          <w:rStyle w:val="InlineCode"/>
        </w:rPr>
        <w:t>DPO_API_URL</w:t>
      </w:r>
      <w:r>
        <w:t xml:space="preserve"> | DPO API base URL | | </w:t>
      </w:r>
      <w:r>
        <w:rPr>
          <w:rStyle w:val="InlineCode"/>
        </w:rPr>
        <w:t>DPO_PAYMENT_URL</w:t>
      </w:r>
      <w:r>
        <w:t xml:space="preserve"> | DPO payment URL override |</w:t>
      </w:r>
    </w:p>
    <w:p>
      <w:pPr>
        <w:pStyle w:val="Heading2"/>
        <w:spacing w:after="80"/>
      </w:pPr>
      <w:r>
        <w:t>8.4 EBM/VSDC configuration</w:t>
      </w:r>
    </w:p>
    <w:p>
      <w:pPr>
        <w:pStyle w:val="Normal"/>
      </w:pPr>
      <w:r>
        <w:t xml:space="preserve">| Variable | Purpose | | --- | --- | | </w:t>
      </w:r>
      <w:r>
        <w:rPr>
          <w:rStyle w:val="InlineCode"/>
        </w:rPr>
        <w:t>ENABLE_EBM</w:t>
      </w:r>
      <w:r>
        <w:t xml:space="preserve"> | Turns EBM submission on or off | | </w:t>
      </w:r>
      <w:r>
        <w:rPr>
          <w:rStyle w:val="InlineCode"/>
        </w:rPr>
        <w:t>EBM_API_URL</w:t>
      </w:r>
      <w:r>
        <w:t xml:space="preserve"> | Gateway base URL | | </w:t>
      </w:r>
      <w:r>
        <w:rPr>
          <w:rStyle w:val="InlineCode"/>
        </w:rPr>
        <w:t>EBM_API_KEY</w:t>
      </w:r>
      <w:r>
        <w:t xml:space="preserve"> | Authentication key or username | | </w:t>
      </w:r>
      <w:r>
        <w:rPr>
          <w:rStyle w:val="InlineCode"/>
        </w:rPr>
        <w:t>EBM_API_SECRET</w:t>
      </w:r>
      <w:r>
        <w:t xml:space="preserve"> | Authentication secret or password | | </w:t>
      </w:r>
      <w:r>
        <w:rPr>
          <w:rStyle w:val="InlineCode"/>
        </w:rPr>
        <w:t>EBM_ENVIRONMENT</w:t>
      </w:r>
      <w:r>
        <w:t xml:space="preserve"> | </w:t>
      </w:r>
      <w:r>
        <w:rPr>
          <w:rStyle w:val="InlineCode"/>
        </w:rPr>
        <w:t>sandbox</w:t>
      </w:r>
      <w:r>
        <w:t xml:space="preserve"> or </w:t>
      </w:r>
      <w:r>
        <w:rPr>
          <w:rStyle w:val="InlineCode"/>
        </w:rPr>
        <w:t>production</w:t>
      </w:r>
      <w:r>
        <w:t xml:space="preserve"> | | </w:t>
      </w:r>
      <w:r>
        <w:rPr>
          <w:rStyle w:val="InlineCode"/>
        </w:rPr>
        <w:t>EBM_SALE_PATH</w:t>
      </w:r>
      <w:r>
        <w:t xml:space="preserve"> | Sale submission path | | </w:t>
      </w:r>
      <w:r>
        <w:rPr>
          <w:rStyle w:val="InlineCode"/>
        </w:rPr>
        <w:t>EBM_REFUND_PATH</w:t>
      </w:r>
      <w:r>
        <w:t xml:space="preserve"> | Refund submission path | | </w:t>
      </w:r>
      <w:r>
        <w:rPr>
          <w:rStyle w:val="InlineCode"/>
        </w:rPr>
        <w:t>EBM_VOID_PATH</w:t>
      </w:r>
      <w:r>
        <w:t xml:space="preserve"> | Void submission path | | </w:t>
      </w:r>
      <w:r>
        <w:rPr>
          <w:rStyle w:val="InlineCode"/>
        </w:rPr>
        <w:t>EBM_REQUEST_TIMEOUT_MS</w:t>
      </w:r>
      <w:r>
        <w:t xml:space="preserve"> | HTTP timeout | | </w:t>
      </w:r>
      <w:r>
        <w:rPr>
          <w:rStyle w:val="InlineCode"/>
        </w:rPr>
        <w:t>EBM_USE_MOCK</w:t>
      </w:r>
      <w:r>
        <w:t xml:space="preserve"> | Mock mode for testing | | </w:t>
      </w:r>
      <w:r>
        <w:rPr>
          <w:rStyle w:val="InlineCode"/>
        </w:rPr>
        <w:t>EBM_MAX_QUEUE_RETRIES</w:t>
      </w:r>
      <w:r>
        <w:t xml:space="preserve"> | Retry limit for queued submissions |</w:t>
      </w:r>
    </w:p>
    <w:p>
      <w:pPr>
        <w:pStyle w:val="Normal"/>
      </w:pPr>
      <w:r>
        <w:t>For implementation details, also review: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docs/ebm-vsdc/INTEGRATION.md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docs/ebm-vsdc/TEST-CASES-TEMPLATE.md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docs/ebm-vsdc/CERTIFICATION-CHECKLIST.md</w:t>
      </w:r>
    </w:p>
    <w:p>
      <w:pPr>
        <w:pStyle w:val="Heading1"/>
        <w:spacing w:after="120"/>
      </w:pPr>
      <w:r>
        <w:t>9. Background jobs</w:t>
      </w:r>
    </w:p>
    <w:p>
      <w:pPr>
        <w:pStyle w:val="Normal"/>
      </w:pPr>
      <w:r>
        <w:t xml:space="preserve">The backend starts scheduled jobs unless </w:t>
      </w:r>
      <w:r>
        <w:rPr>
          <w:rStyle w:val="InlineCode"/>
        </w:rPr>
        <w:t>RUN_JOBS=false</w:t>
      </w:r>
      <w:r>
        <w:t>:</w:t>
      </w:r>
    </w:p>
    <w:p>
      <w:pPr>
        <w:pStyle w:val="ListBullet"/>
        <w:spacing w:after="60"/>
      </w:pPr>
      <w:r>
        <w:t>- subscription reminders</w:t>
      </w:r>
    </w:p>
    <w:p>
      <w:pPr>
        <w:pStyle w:val="ListBullet"/>
        <w:spacing w:after="60"/>
      </w:pPr>
      <w:r>
        <w:t>- subscription expiry processing</w:t>
      </w:r>
    </w:p>
    <w:p>
      <w:pPr>
        <w:pStyle w:val="ListBullet"/>
        <w:spacing w:after="60"/>
      </w:pPr>
      <w:r>
        <w:t>- product expiry alerts</w:t>
      </w:r>
    </w:p>
    <w:p>
      <w:pPr>
        <w:pStyle w:val="ListBullet"/>
        <w:spacing w:after="60"/>
      </w:pPr>
      <w:r>
        <w:t>- daily reporting</w:t>
      </w:r>
    </w:p>
    <w:p>
      <w:pPr>
        <w:pStyle w:val="ListBullet"/>
        <w:spacing w:after="60"/>
      </w:pPr>
      <w:r>
        <w:t>- EBM queue retries</w:t>
      </w:r>
    </w:p>
    <w:p>
      <w:pPr>
        <w:pStyle w:val="Normal"/>
      </w:pPr>
      <w:r>
        <w:t>Disable jobs in local troubleshooting when you want a quieter runtime.</w:t>
      </w:r>
    </w:p>
    <w:p>
      <w:pPr>
        <w:pStyle w:val="Heading1"/>
        <w:spacing w:after="120"/>
      </w:pPr>
      <w:r>
        <w:t>10. Real-time communication</w:t>
      </w:r>
    </w:p>
    <w:p>
      <w:pPr>
        <w:pStyle w:val="Normal"/>
      </w:pPr>
      <w:r>
        <w:t>Socket.IO is initialized on the backend HTTP server.</w:t>
      </w:r>
    </w:p>
    <w:p>
      <w:pPr>
        <w:pStyle w:val="Normal"/>
      </w:pPr>
      <w:r>
        <w:t>Current room patterns:</w:t>
      </w:r>
    </w:p>
    <w:p>
      <w:pPr>
        <w:pStyle w:val="ListBullet"/>
        <w:spacing w:after="60"/>
      </w:pPr>
      <w:r>
        <w:t xml:space="preserve">- organization room: </w:t>
      </w:r>
      <w:r>
        <w:rPr>
          <w:rStyle w:val="InlineCode"/>
        </w:rPr>
        <w:t>org-{organizationId}</w:t>
      </w:r>
    </w:p>
    <w:p>
      <w:pPr>
        <w:pStyle w:val="ListBullet"/>
        <w:spacing w:after="60"/>
      </w:pPr>
      <w:r>
        <w:t xml:space="preserve">- transaction room: </w:t>
      </w:r>
      <w:r>
        <w:rPr>
          <w:rStyle w:val="InlineCode"/>
        </w:rPr>
        <w:t>trx-{ref}</w:t>
      </w:r>
    </w:p>
    <w:p>
      <w:pPr>
        <w:pStyle w:val="Normal"/>
      </w:pPr>
      <w:r>
        <w:t>Use cases:</w:t>
      </w:r>
    </w:p>
    <w:p>
      <w:pPr>
        <w:pStyle w:val="ListBullet"/>
        <w:spacing w:after="60"/>
      </w:pPr>
      <w:r>
        <w:t>- notifications</w:t>
      </w:r>
    </w:p>
    <w:p>
      <w:pPr>
        <w:pStyle w:val="ListBullet"/>
        <w:spacing w:after="60"/>
      </w:pPr>
      <w:r>
        <w:t>- transaction state updates</w:t>
      </w:r>
    </w:p>
    <w:p>
      <w:pPr>
        <w:pStyle w:val="Normal"/>
      </w:pPr>
      <w:r>
        <w:t xml:space="preserve">Frontend socket clients should point to </w:t>
      </w:r>
      <w:r>
        <w:rPr>
          <w:rStyle w:val="InlineCode"/>
        </w:rPr>
        <w:t>VITE_WS_URL</w:t>
      </w:r>
      <w:r>
        <w:t>.</w:t>
      </w:r>
    </w:p>
    <w:p>
      <w:pPr>
        <w:pStyle w:val="Heading1"/>
        <w:spacing w:after="120"/>
      </w:pPr>
      <w:r>
        <w:t>11. Database and migration workflow</w:t>
      </w:r>
    </w:p>
    <w:p>
      <w:pPr>
        <w:pStyle w:val="Normal"/>
      </w:pPr>
      <w:r>
        <w:t xml:space="preserve">Main commands from </w:t>
      </w:r>
      <w:r>
        <w:rPr>
          <w:rStyle w:val="InlineCode"/>
        </w:rPr>
        <w:t>Backend/package.json</w:t>
      </w:r>
      <w:r>
        <w:t>:</w:t>
      </w:r>
    </w:p>
    <w:p>
      <w:pPr>
        <w:pStyle w:val="CodeBlock"/>
        <w:spacing w:after="0"/>
      </w:pPr>
      <w:r>
        <w:t>npm run prisma:generate</w:t>
      </w:r>
    </w:p>
    <w:p>
      <w:pPr>
        <w:pStyle w:val="CodeBlock"/>
        <w:spacing w:after="0"/>
      </w:pPr>
      <w:r>
        <w:t>npm run prisma:migrate</w:t>
      </w:r>
    </w:p>
    <w:p>
      <w:pPr>
        <w:pStyle w:val="CodeBlock"/>
        <w:spacing w:after="0"/>
      </w:pPr>
      <w:r>
        <w:t>npm run prisma:deploy</w:t>
      </w:r>
    </w:p>
    <w:p>
      <w:pPr>
        <w:pStyle w:val="CodeBlock"/>
        <w:spacing w:after="0"/>
      </w:pPr>
      <w:r>
        <w:t>npm run prisma:studio</w:t>
      </w:r>
    </w:p>
    <w:p>
      <w:pPr>
        <w:pStyle w:val="CodeBlock"/>
        <w:spacing w:after="0"/>
      </w:pPr>
      <w:r>
        <w:t>npm run prisma:seed</w:t>
      </w:r>
    </w:p>
    <w:p>
      <w:pPr>
        <w:pStyle w:val="CodeBlockSpacer"/>
        <w:spacing w:after="120"/>
      </w:pPr>
      <w:r>
        <w:t xml:space="preserve"> </w:t>
      </w:r>
    </w:p>
    <w:p>
      <w:pPr>
        <w:pStyle w:val="Normal"/>
      </w:pPr>
      <w:r>
        <w:t>Guidance:</w:t>
      </w:r>
    </w:p>
    <w:p>
      <w:pPr>
        <w:pStyle w:val="ListBullet"/>
        <w:spacing w:after="60"/>
      </w:pPr>
      <w:r>
        <w:t xml:space="preserve">- use </w:t>
      </w:r>
      <w:r>
        <w:rPr>
          <w:rStyle w:val="InlineCode"/>
        </w:rPr>
        <w:t>prisma:migrate</w:t>
      </w:r>
      <w:r>
        <w:t xml:space="preserve"> during development</w:t>
      </w:r>
    </w:p>
    <w:p>
      <w:pPr>
        <w:pStyle w:val="ListBullet"/>
        <w:spacing w:after="60"/>
      </w:pPr>
      <w:r>
        <w:t xml:space="preserve">- use </w:t>
      </w:r>
      <w:r>
        <w:rPr>
          <w:rStyle w:val="InlineCode"/>
        </w:rPr>
        <w:t>prisma:deploy</w:t>
      </w:r>
      <w:r>
        <w:t xml:space="preserve"> for deployment pipelines</w:t>
      </w:r>
    </w:p>
    <w:p>
      <w:pPr>
        <w:pStyle w:val="ListBullet"/>
        <w:spacing w:after="60"/>
      </w:pPr>
      <w:r>
        <w:t>- keep schema, migrations, and seed data aligned</w:t>
      </w:r>
    </w:p>
    <w:p>
      <w:pPr>
        <w:pStyle w:val="Heading1"/>
        <w:spacing w:after="120"/>
      </w:pPr>
      <w:r>
        <w:t>12. Build and run commands</w:t>
      </w:r>
    </w:p>
    <w:p>
      <w:pPr>
        <w:pStyle w:val="Heading2"/>
        <w:spacing w:after="80"/>
      </w:pPr>
      <w:r>
        <w:t>Backend</w:t>
      </w:r>
    </w:p>
    <w:p>
      <w:pPr>
        <w:pStyle w:val="CodeBlock"/>
        <w:spacing w:after="0"/>
      </w:pPr>
      <w:r>
        <w:t>npm run dev</w:t>
      </w:r>
    </w:p>
    <w:p>
      <w:pPr>
        <w:pStyle w:val="CodeBlock"/>
        <w:spacing w:after="0"/>
      </w:pPr>
      <w:r>
        <w:t>npm run build</w:t>
      </w:r>
    </w:p>
    <w:p>
      <w:pPr>
        <w:pStyle w:val="CodeBlock"/>
        <w:spacing w:after="0"/>
      </w:pPr>
      <w:r>
        <w:t>npm start</w:t>
      </w:r>
    </w:p>
    <w:p>
      <w:pPr>
        <w:pStyle w:val="CodeBlock"/>
        <w:spacing w:after="0"/>
      </w:pPr>
      <w:r>
        <w:t>npm run typecheck</w:t>
      </w:r>
    </w:p>
    <w:p>
      <w:pPr>
        <w:pStyle w:val="CodeBlock"/>
        <w:spacing w:after="0"/>
      </w:pPr>
      <w:r>
        <w:t>npm run test:unit</w:t>
      </w:r>
    </w:p>
    <w:p>
      <w:pPr>
        <w:pStyle w:val="CodeBlock"/>
        <w:spacing w:after="0"/>
      </w:pPr>
      <w:r>
        <w:t>npm run smoke-test</w:t>
      </w:r>
    </w:p>
    <w:p>
      <w:pPr>
        <w:pStyle w:val="CodeBlockSpacer"/>
        <w:spacing w:after="120"/>
      </w:pPr>
      <w:r>
        <w:t xml:space="preserve"> </w:t>
      </w:r>
    </w:p>
    <w:p>
      <w:pPr>
        <w:pStyle w:val="Heading2"/>
        <w:spacing w:after="80"/>
      </w:pPr>
      <w:r>
        <w:t>Frontend</w:t>
      </w:r>
    </w:p>
    <w:p>
      <w:pPr>
        <w:pStyle w:val="CodeBlock"/>
        <w:spacing w:after="0"/>
      </w:pPr>
      <w:r>
        <w:t>npm run dev</w:t>
      </w:r>
    </w:p>
    <w:p>
      <w:pPr>
        <w:pStyle w:val="CodeBlock"/>
        <w:spacing w:after="0"/>
      </w:pPr>
      <w:r>
        <w:t>npm run build</w:t>
      </w:r>
    </w:p>
    <w:p>
      <w:pPr>
        <w:pStyle w:val="CodeBlock"/>
        <w:spacing w:after="0"/>
      </w:pPr>
      <w:r>
        <w:t>npm run lint</w:t>
      </w:r>
    </w:p>
    <w:p>
      <w:pPr>
        <w:pStyle w:val="CodeBlock"/>
        <w:spacing w:after="0"/>
      </w:pPr>
      <w:r>
        <w:t>npm run preview</w:t>
      </w:r>
    </w:p>
    <w:p>
      <w:pPr>
        <w:pStyle w:val="CodeBlockSpacer"/>
        <w:spacing w:after="120"/>
      </w:pPr>
      <w:r>
        <w:t xml:space="preserve"> </w:t>
      </w:r>
    </w:p>
    <w:p>
      <w:pPr>
        <w:pStyle w:val="Heading1"/>
        <w:spacing w:after="120"/>
      </w:pPr>
      <w:r>
        <w:t>13. Recommended extension workflow</w:t>
      </w:r>
    </w:p>
    <w:p>
      <w:pPr>
        <w:pStyle w:val="Normal"/>
      </w:pPr>
      <w:r>
        <w:t>When adding new features:</w:t>
      </w:r>
    </w:p>
    <w:p>
      <w:pPr>
        <w:pStyle w:val="ListNumber"/>
        <w:spacing w:after="60"/>
      </w:pPr>
      <w:r>
        <w:t>1. update or add Prisma models if the data model changes</w:t>
      </w:r>
    </w:p>
    <w:p>
      <w:pPr>
        <w:pStyle w:val="ListNumber"/>
        <w:spacing w:after="60"/>
      </w:pPr>
      <w:r>
        <w:t>2. create and review a migration</w:t>
      </w:r>
    </w:p>
    <w:p>
      <w:pPr>
        <w:pStyle w:val="ListNumber"/>
        <w:spacing w:after="60"/>
      </w:pPr>
      <w:r>
        <w:t>3. add backend route, controller, service, validation, and authorization logic</w:t>
      </w:r>
    </w:p>
    <w:p>
      <w:pPr>
        <w:pStyle w:val="ListNumber"/>
        <w:spacing w:after="60"/>
      </w:pPr>
      <w:r>
        <w:t>4. connect frontend pages or services to the new endpoint</w:t>
      </w:r>
    </w:p>
    <w:p>
      <w:pPr>
        <w:pStyle w:val="ListNumber"/>
        <w:spacing w:after="60"/>
      </w:pPr>
      <w:r>
        <w:t>5. update translations if the UI introduces new labels</w:t>
      </w:r>
    </w:p>
    <w:p>
      <w:pPr>
        <w:pStyle w:val="ListNumber"/>
        <w:spacing w:after="60"/>
      </w:pPr>
      <w:r>
        <w:t>6. add operational or user documentation for the new capability</w:t>
      </w:r>
    </w:p>
    <w:p>
      <w:pPr>
        <w:pStyle w:val="Heading1"/>
        <w:spacing w:after="120"/>
      </w:pPr>
      <w:r>
        <w:t>14. Configuration cautions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JWT_SECRET</w:t>
      </w:r>
      <w:r>
        <w:t xml:space="preserve"> is mandatory. The backend exits if it is missing.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VITE_PUBLIC_API_URL</w:t>
      </w:r>
      <w:r>
        <w:t xml:space="preserve"> must include </w:t>
      </w:r>
      <w:r>
        <w:rPr>
          <w:rStyle w:val="InlineCode"/>
        </w:rPr>
        <w:t>/api</w:t>
      </w:r>
      <w:r>
        <w:t>, otherwise frontend requests will target incorrect paths.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FRONTEND_URL</w:t>
      </w:r>
      <w:r>
        <w:t xml:space="preserve"> must match the deployed frontend origin for CORS, redirects, and Socket.IO.</w:t>
      </w:r>
    </w:p>
    <w:p>
      <w:pPr>
        <w:pStyle w:val="ListBullet"/>
        <w:spacing w:after="60"/>
      </w:pPr>
      <w:r>
        <w:t xml:space="preserve">- The current repository references both </w:t>
      </w:r>
      <w:r>
        <w:rPr>
          <w:rStyle w:val="InlineCode"/>
        </w:rPr>
        <w:t>PAYPACK_CLIENT_*</w:t>
      </w:r>
      <w:r>
        <w:t xml:space="preserve"> and </w:t>
      </w:r>
      <w:r>
        <w:rPr>
          <w:rStyle w:val="InlineCode"/>
        </w:rPr>
        <w:t>PAYPACK_API_KEY</w:t>
      </w:r>
      <w:r>
        <w:t xml:space="preserve"> styles of configuration. Review the active Paypack flow and standardize it before production deployment.</w:t>
      </w:r>
    </w:p>
    <w:p>
      <w:pPr>
        <w:pStyle w:val="ListBullet"/>
        <w:spacing w:after="60"/>
      </w:pPr>
      <w:r>
        <w:t xml:space="preserve">- The backend </w:t>
      </w:r>
      <w:r>
        <w:rPr>
          <w:rStyle w:val="InlineCode"/>
        </w:rPr>
        <w:t>.env.example</w:t>
      </w:r>
      <w:r>
        <w:t xml:space="preserve"> is useful but incomplete; check actual code usage when preparing production configuration.</w:t>
      </w:r>
    </w:p>
    <w:p>
      <w:pPr>
        <w:pStyle w:val="Heading1"/>
        <w:spacing w:after="120"/>
      </w:pPr>
      <w:r>
        <w:t>15. Technical references in this repository</w:t>
      </w:r>
    </w:p>
    <w:p>
      <w:pPr>
        <w:pStyle w:val="Normal"/>
      </w:pPr>
      <w:r>
        <w:t>Useful starting points: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README.md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Backend/src/index.ts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Backend/src/config/index.ts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Backend/prisma/schema.prisma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Backend/.env.example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Frontend/src/App.tsx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Frontend/src/lib/api-client.ts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docs/ebm-vsdc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20"/>
    </w:pPr>
    <w:rPr>
      <w:b/>
      <w:sz w:val="36"/>
      <w:szCs w:val="36"/>
    </w:rPr>
  </w:style>
  <w:style w:type="paragraph" w:styleId="Heading1">
    <w:name w:val="Heading 1"/>
    <w:basedOn w:val="Normal"/>
    <w:qFormat/>
    <w:pPr>
      <w:spacing w:before="220" w:after="120"/>
    </w:pPr>
    <w:rPr>
      <w:b/>
      <w:sz w:val="28"/>
      <w:szCs w:val="28"/>
    </w:rPr>
  </w:style>
  <w:style w:type="paragraph" w:styleId="Heading2">
    <w:name w:val="Heading 2"/>
    <w:basedOn w:val="Normal"/>
    <w:qFormat/>
    <w:pPr>
      <w:spacing w:before="180" w:after="80"/>
    </w:pPr>
    <w:rPr>
      <w:b/>
      <w:sz w:val="24"/>
      <w:szCs w:val="24"/>
    </w:rPr>
  </w:style>
  <w:style w:type="paragraph" w:styleId="ListBullet">
    <w:name w:val="List Bullet"/>
    <w:basedOn w:val="Normal"/>
    <w:pPr>
      <w:ind w:left="540" w:hanging="240"/>
      <w:spacing w:after="60"/>
    </w:pPr>
  </w:style>
  <w:style w:type="paragraph" w:styleId="ListNumber">
    <w:name w:val="List Number"/>
    <w:basedOn w:val="Normal"/>
    <w:pPr>
      <w:ind w:left="540" w:hanging="240"/>
      <w:spacing w:after="60"/>
    </w:pPr>
  </w:style>
  <w:style w:type="paragraph" w:styleId="CodeBlock">
    <w:name w:val="Code Block"/>
    <w:basedOn w:val="Normal"/>
    <w:pPr>
      <w:ind w:left="360" w:right="360"/>
      <w:spacing w:before="0" w:after="0"/>
      <w:shd w:fill="F3F4F6"/>
    </w:pPr>
    <w:rPr>
      <w:rFonts w:ascii="Courier New" w:hAnsi="Courier New"/>
      <w:sz w:val="20"/>
      <w:szCs w:val="20"/>
    </w:rPr>
  </w:style>
  <w:style w:type="paragraph" w:styleId="CodeBlockSpacer">
    <w:name w:val="Code Block Spacer"/>
    <w:basedOn w:val="CodeBlock"/>
    <w:pPr>
      <w:spacing w:after="120"/>
    </w:pPr>
    <w:rPr>
      <w:rFonts w:ascii="Courier New" w:hAnsi="Courier New"/>
      <w:sz w:val="8"/>
      <w:szCs w:val="8"/>
    </w:rPr>
  </w:style>
  <w:style w:type="character" w:styleId="InlineCode">
    <w:name w:val="Inline Code"/>
    <w:rPr>
      <w:rFonts w:ascii="Courier New" w:hAnsi="Courier New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  <Company>TangaHub</Company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Excledge ERP Programming and Configuration Manual</dc:title>
  <dc:subject>Product Documentation</dc:subject>
  <dc:creator>OpenAI Codex</dc:creator>
  <cp:lastModifiedBy>OpenAI Codex</cp:lastModifiedBy>
  <dcterms:created xsi:type="dcterms:W3CDTF">2026-04-10T07:51:21Z</dcterms:created>
  <dcterms:modified xsi:type="dcterms:W3CDTF">2026-04-10T07:51:21Z</dcterms:modified>
</cp:coreProperties>
</file>