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4"/>
        </w:rPr>
        <w:t>Clinical content approval record</w:t>
      </w:r>
    </w:p>
    <w:p/>
    <w:p>
      <w:r>
        <w:t xml:space="preserve">Seed health articles are drafts and remain </w:t>
      </w:r>
      <w:r>
        <w:rPr>
          <w:rFonts w:ascii="Consolas" w:hAnsi="Consolas"/>
          <w:color w:val="C7254E"/>
          <w:sz w:val="20"/>
        </w:rPr>
        <w:t>NEEDS_REVIEW</w:t>
      </w:r>
      <w:r>
        <w:t xml:space="preserve"> by default. They must not be published merely to complete a software delivery milestone.</w:t>
      </w:r>
    </w:p>
    <w:p>
      <w:r>
        <w:t>For each EN/RW/FR/SW article record: topic, version/commit, clinical reviewer name and license/authority, translator or language reviewer, evidence sources and dates, age appropriateness, emergency advice, cultural clarity, requested corrections, approval date, expiry/re-review date, and signatures.</w:t>
      </w:r>
    </w:p>
    <w:p>
      <w:r>
        <w:t>The knowledge-base API prevents publication until title and body exist in all four languages. A licensed reviewer must still judge correctness. Production acceptance should include exported approval records and a sample audit showing the approving administrator.</w:t>
      </w:r>
    </w:p>
    <w:p>
      <w:r>
        <w:t>The seed facility directory is also disabled by default and contains no phone numbers. Import only owner-verified facility coordinates, services, and contacts through the administration portal before locator UAT.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 Content Review</dc:title>
  <dc:subject/>
  <dc:creator>INSHUTI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