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Contract amendment items before final acceptance</w:t>
      </w:r>
    </w:p>
    <w:p/>
    <w:p>
      <w:r>
        <w:t>This is a drafting checklist for review by qualified Rwandan counsel, not legal advice.</w:t>
      </w:r>
    </w:p>
    <w:p>
      <w:r>
        <w:t>The parties should sign one amendment that:</w:t>
      </w:r>
    </w:p>
    <w:p>
      <w:pPr>
        <w:pStyle w:val="ListNumber"/>
      </w:pPr>
      <w:r>
        <w:t>Identifies the Contractor consistently as NIYONKURU Bertin or TANGA HUB LTD and states the legal relationship between them.</w:t>
      </w:r>
    </w:p>
    <w:p>
      <w:pPr>
        <w:pStyle w:val="ListNumber"/>
      </w:pPr>
      <w:r>
        <w:t>Sets one total price. The contract currently uses both RWF 500,000 and RWF 600,000.</w:t>
      </w:r>
    </w:p>
    <w:p>
      <w:pPr>
        <w:pStyle w:val="ListNumber"/>
      </w:pPr>
      <w:r>
        <w:t>Replaces payment dates that predate the 16 July 2026 effective date and clarifies milestone certification.</w:t>
      </w:r>
    </w:p>
    <w:p>
      <w:pPr>
        <w:pStyle w:val="ListNumber"/>
      </w:pPr>
      <w:r>
        <w:t>Corrects article numbering and the payment table.</w:t>
      </w:r>
    </w:p>
    <w:p>
      <w:pPr>
        <w:pStyle w:val="ListNumber"/>
      </w:pPr>
      <w:r>
        <w:t>Replaces “end-to-end encryption” with the technically accurate acceptance requirement: TLS in transit, authenticated AES-256-GCM at application storage, provider-managed database/backup encryption, key management, and participant-only authorization. If genuine client-side E2EE remains required, make it a separately funded milestone with recovery/key-loss rules and independent cryptographic audit.</w:t>
      </w:r>
    </w:p>
    <w:p>
      <w:pPr>
        <w:pStyle w:val="ListNumber"/>
      </w:pPr>
      <w:r>
        <w:t>States that SMS, email, push, AI, mapping, hosting, domain, and third-party license fees require owner-provided accounts and ongoing payment.</w:t>
      </w:r>
    </w:p>
    <w:p>
      <w:pPr>
        <w:pStyle w:val="ListNumber"/>
      </w:pPr>
      <w:r>
        <w:t>Defines production acceptance as completion of the signed UAT, licensed clinical-content approval, independent penetration test/remediation, verified backup restoration, training records, deployment record, and source-code handover.</w:t>
      </w:r>
    </w:p>
    <w:p>
      <w:pPr>
        <w:pStyle w:val="ListNumber"/>
      </w:pPr>
      <w:r>
        <w:t>States approved RPO/RTO, availability SLA, support hours, warranty duration, data retention, youth consent/assent policy, safeguarding escalation, and incident-notification time.</w:t>
      </w:r>
    </w:p>
    <w:p>
      <w:r>
        <w:t>Attach the final compliance matrix, UAT evidence, security report, clinical-review record, training record, deployment record, and acceptance certificate to the amendment.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Clarifications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