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Contract compliance matrix</w:t>
      </w:r>
    </w:p>
    <w:p/>
    <w:p>
      <w:r>
        <w:t xml:space="preserve">Status values: </w:t>
      </w:r>
      <w:r>
        <w:rPr>
          <w:b/>
        </w:rPr>
        <w:t>Implemented</w:t>
      </w:r>
      <w:r>
        <w:t xml:space="preserve"> means code and automated verification exist; </w:t>
      </w:r>
      <w:r>
        <w:rPr>
          <w:b/>
        </w:rPr>
        <w:t>Configuration</w:t>
      </w:r>
      <w:r>
        <w:t xml:space="preserve"> requires owner credentials/infrastructure; </w:t>
      </w:r>
      <w:r>
        <w:rPr>
          <w:b/>
        </w:rPr>
        <w:t>External acceptance</w:t>
      </w:r>
      <w:r>
        <w:t xml:space="preserve"> requires an authorized human or third party.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216"/>
          </w:tcPr>
          <w:p>
            <w:r>
              <w:rPr>
                <w:b/>
              </w:rPr>
              <w:t>Evidence / acceptance action</w:t>
            </w:r>
          </w:p>
        </w:tc>
      </w:tr>
      <w:tr>
        <w:tc>
          <w:tcPr>
            <w:tcW w:type="dxa" w:w="3216"/>
          </w:tcPr>
          <w:p>
            <w:r>
              <w:t>AI-first multilingual health information and safety disclaimer</w:t>
            </w:r>
          </w:p>
        </w:tc>
        <w:tc>
          <w:tcPr>
            <w:tcW w:type="dxa" w:w="3216"/>
          </w:tcPr>
          <w:p>
            <w:r>
              <w:t>Implemented + external acceptance</w:t>
            </w:r>
          </w:p>
        </w:tc>
        <w:tc>
          <w:tcPr>
            <w:tcW w:type="dxa" w:w="3216"/>
          </w:tcPr>
          <w:p>
            <w:r>
              <w:t>Chat, retrieval, language detection; licensed clinical and AI-safety review required</w:t>
            </w:r>
          </w:p>
        </w:tc>
      </w:tr>
      <w:tr>
        <w:tc>
          <w:tcPr>
            <w:tcW w:type="dxa" w:w="3216"/>
          </w:tcPr>
          <w:p>
            <w:r>
              <w:t>CHW/nurse/midwife/psychologist/doctor routing</w:t>
            </w:r>
          </w:p>
        </w:tc>
        <w:tc>
          <w:tcPr>
            <w:tcW w:type="dxa" w:w="3216"/>
          </w:tcPr>
          <w:p>
            <w:r>
              <w:t>Implemented</w:t>
            </w:r>
          </w:p>
        </w:tc>
        <w:tc>
          <w:tcPr>
            <w:tcW w:type="dxa" w:w="3216"/>
          </w:tcPr>
          <w:p>
            <w:r>
              <w:t>Specialization/risk/location-aware router and unit tests</w:t>
            </w:r>
          </w:p>
        </w:tc>
      </w:tr>
      <w:tr>
        <w:tc>
          <w:tcPr>
            <w:tcW w:type="dxa" w:w="3216"/>
          </w:tcPr>
          <w:p>
            <w:r>
              <w:t>Private human consultation, files/images/audio, voice-to-text, history/read receipts</w:t>
            </w:r>
          </w:p>
        </w:tc>
        <w:tc>
          <w:tcPr>
            <w:tcW w:type="dxa" w:w="3216"/>
          </w:tcPr>
          <w:p>
            <w:r>
              <w:t>Implemented</w:t>
            </w:r>
          </w:p>
        </w:tc>
        <w:tc>
          <w:tcPr>
            <w:tcW w:type="dxa" w:w="3216"/>
          </w:tcPr>
          <w:p>
            <w:r>
              <w:t>Consultation API, Socket.IO, protected uploads and UI</w:t>
            </w:r>
          </w:p>
        </w:tc>
      </w:tr>
      <w:tr>
        <w:tc>
          <w:tcPr>
            <w:tcW w:type="dxa" w:w="3216"/>
          </w:tcPr>
          <w:p>
            <w:r>
              <w:t>Encryption and RBAC</w:t>
            </w:r>
          </w:p>
        </w:tc>
        <w:tc>
          <w:tcPr>
            <w:tcW w:type="dxa" w:w="3216"/>
          </w:tcPr>
          <w:p>
            <w:r>
              <w:t>Implemented + external acceptance</w:t>
            </w:r>
          </w:p>
        </w:tc>
        <w:tc>
          <w:tcPr>
            <w:tcW w:type="dxa" w:w="3216"/>
          </w:tcPr>
          <w:p>
            <w:r>
              <w:t>TLS configuration, AES-256-GCM, authorization tests; penetration test required</w:t>
            </w:r>
          </w:p>
        </w:tc>
      </w:tr>
      <w:tr>
        <w:tc>
          <w:tcPr>
            <w:tcW w:type="dxa" w:w="3216"/>
          </w:tcPr>
          <w:p>
            <w:r>
              <w:t>Four-language interfaces/content workflow</w:t>
            </w:r>
          </w:p>
        </w:tc>
        <w:tc>
          <w:tcPr>
            <w:tcW w:type="dxa" w:w="3216"/>
          </w:tcPr>
          <w:p>
            <w:r>
              <w:t>Implemented + external acceptance</w:t>
            </w:r>
          </w:p>
        </w:tc>
        <w:tc>
          <w:tcPr>
            <w:tcW w:type="dxa" w:w="3216"/>
          </w:tcPr>
          <w:p>
            <w:r>
              <w:t>Main public and role journeys, message resources, and four-language publication gate are implemented; an authorized translator must complete terminology/administration-screen QA</w:t>
            </w:r>
          </w:p>
        </w:tc>
      </w:tr>
      <w:tr>
        <w:tc>
          <w:tcPr>
            <w:tcW w:type="dxa" w:w="3216"/>
          </w:tcPr>
          <w:p>
            <w:r>
              <w:t>Appointments and reminders</w:t>
            </w:r>
          </w:p>
        </w:tc>
        <w:tc>
          <w:tcPr>
            <w:tcW w:type="dxa" w:w="3216"/>
          </w:tcPr>
          <w:p>
            <w:r>
              <w:t>Implemented</w:t>
            </w:r>
          </w:p>
        </w:tc>
        <w:tc>
          <w:tcPr>
            <w:tcW w:type="dxa" w:w="3216"/>
          </w:tcPr>
          <w:p>
            <w:r>
              <w:t>Booking lifecycle, conflicts, availability display, scheduled reminder worker</w:t>
            </w:r>
          </w:p>
        </w:tc>
      </w:tr>
      <w:tr>
        <w:tc>
          <w:tcPr>
            <w:tcW w:type="dxa" w:w="3216"/>
          </w:tcPr>
          <w:p>
            <w:r>
              <w:t>Health library categories and content administration</w:t>
            </w:r>
          </w:p>
        </w:tc>
        <w:tc>
          <w:tcPr>
            <w:tcW w:type="dxa" w:w="3216"/>
          </w:tcPr>
          <w:p>
            <w:r>
              <w:t>Implemented + external acceptance</w:t>
            </w:r>
          </w:p>
        </w:tc>
        <w:tc>
          <w:tcPr>
            <w:tcW w:type="dxa" w:w="3216"/>
          </w:tcPr>
          <w:p>
            <w:r>
              <w:t>All required categories; licensed content approval required</w:t>
            </w:r>
          </w:p>
        </w:tc>
      </w:tr>
      <w:tr>
        <w:tc>
          <w:tcPr>
            <w:tcW w:type="dxa" w:w="3216"/>
          </w:tcPr>
          <w:p>
            <w:r>
              <w:t>Facility search, map, contact, services and directions</w:t>
            </w:r>
          </w:p>
        </w:tc>
        <w:tc>
          <w:tcPr>
            <w:tcW w:type="dxa" w:w="3216"/>
          </w:tcPr>
          <w:p>
            <w:r>
              <w:t>Implemented</w:t>
            </w:r>
          </w:p>
        </w:tc>
        <w:tc>
          <w:tcPr>
            <w:tcW w:type="dxa" w:w="3216"/>
          </w:tcPr>
          <w:p>
            <w:r>
              <w:t>Public locator and admin management</w:t>
            </w:r>
          </w:p>
        </w:tc>
      </w:tr>
      <w:tr>
        <w:tc>
          <w:tcPr>
            <w:tcW w:type="dxa" w:w="3216"/>
          </w:tcPr>
          <w:p>
            <w:r>
              <w:t>Email/SMS/in-app/browser push</w:t>
            </w:r>
          </w:p>
        </w:tc>
        <w:tc>
          <w:tcPr>
            <w:tcW w:type="dxa" w:w="3216"/>
          </w:tcPr>
          <w:p>
            <w:r>
              <w:t>Configuration</w:t>
            </w:r>
          </w:p>
        </w:tc>
        <w:tc>
          <w:tcPr>
            <w:tcW w:type="dxa" w:w="3216"/>
          </w:tcPr>
          <w:p>
            <w:r>
              <w:t>SMTP, Twilio and VAPID credentials must be supplied and tested</w:t>
            </w:r>
          </w:p>
        </w:tc>
      </w:tr>
      <w:tr>
        <w:tc>
          <w:tcPr>
            <w:tcW w:type="dxa" w:w="3216"/>
          </w:tcPr>
          <w:p>
            <w:r>
              <w:t>Government national/province/district/sector/cell aggregates</w:t>
            </w:r>
          </w:p>
        </w:tc>
        <w:tc>
          <w:tcPr>
            <w:tcW w:type="dxa" w:w="3216"/>
          </w:tcPr>
          <w:p>
            <w:r>
              <w:t>Implemented</w:t>
            </w:r>
          </w:p>
        </w:tc>
        <w:tc>
          <w:tcPr>
            <w:tcW w:type="dxa" w:w="3216"/>
          </w:tcPr>
          <w:p>
            <w:r>
              <w:t>Location-aware aggregate queries and configurable small-count suppression; production data completeness review required</w:t>
            </w:r>
          </w:p>
        </w:tc>
      </w:tr>
      <w:tr>
        <w:tc>
          <w:tcPr>
            <w:tcW w:type="dxa" w:w="3216"/>
          </w:tcPr>
          <w:p>
            <w:r>
              <w:t>Role portals and administration</w:t>
            </w:r>
          </w:p>
        </w:tc>
        <w:tc>
          <w:tcPr>
            <w:tcW w:type="dxa" w:w="3216"/>
          </w:tcPr>
          <w:p>
            <w:r>
              <w:t>Implemented</w:t>
            </w:r>
          </w:p>
        </w:tc>
        <w:tc>
          <w:tcPr>
            <w:tcW w:type="dxa" w:w="3216"/>
          </w:tcPr>
          <w:p>
            <w:r>
              <w:t>Youth/parent/professional/government/admin/super-admin routes and RBAC</w:t>
            </w:r>
          </w:p>
        </w:tc>
      </w:tr>
      <w:tr>
        <w:tc>
          <w:tcPr>
            <w:tcW w:type="dxa" w:w="3216"/>
          </w:tcPr>
          <w:p>
            <w:r>
              <w:t>Search and CSV/XLSX/PDF reports</w:t>
            </w:r>
          </w:p>
        </w:tc>
        <w:tc>
          <w:tcPr>
            <w:tcW w:type="dxa" w:w="3216"/>
          </w:tcPr>
          <w:p>
            <w:r>
              <w:t>Implemented</w:t>
            </w:r>
          </w:p>
        </w:tc>
        <w:tc>
          <w:tcPr>
            <w:tcW w:type="dxa" w:w="3216"/>
          </w:tcPr>
          <w:p>
            <w:r>
              <w:t>Restricted unified admin search and exports</w:t>
            </w:r>
          </w:p>
        </w:tc>
      </w:tr>
      <w:tr>
        <w:tc>
          <w:tcPr>
            <w:tcW w:type="dxa" w:w="3216"/>
          </w:tcPr>
          <w:p>
            <w:r>
              <w:t>PWA and offline shell</w:t>
            </w:r>
          </w:p>
        </w:tc>
        <w:tc>
          <w:tcPr>
            <w:tcW w:type="dxa" w:w="3216"/>
          </w:tcPr>
          <w:p>
            <w:r>
              <w:t>Implemented</w:t>
            </w:r>
          </w:p>
        </w:tc>
        <w:tc>
          <w:tcPr>
            <w:tcW w:type="dxa" w:w="3216"/>
          </w:tcPr>
          <w:p>
            <w:r>
              <w:t>Manifest, service worker, offline fallback and push handler</w:t>
            </w:r>
          </w:p>
        </w:tc>
      </w:tr>
      <w:tr>
        <w:tc>
          <w:tcPr>
            <w:tcW w:type="dxa" w:w="3216"/>
          </w:tcPr>
          <w:p>
            <w:r>
              <w:t>Backup/disaster recovery</w:t>
            </w:r>
          </w:p>
        </w:tc>
        <w:tc>
          <w:tcPr>
            <w:tcW w:type="dxa" w:w="3216"/>
          </w:tcPr>
          <w:p>
            <w:r>
              <w:t>Implemented + configuration</w:t>
            </w:r>
          </w:p>
        </w:tc>
        <w:tc>
          <w:tcPr>
            <w:tcW w:type="dxa" w:w="3216"/>
          </w:tcPr>
          <w:p>
            <w:r>
              <w:t>Scripts/runbook supplied; owner must schedule and sign restore exercise</w:t>
            </w:r>
          </w:p>
        </w:tc>
      </w:tr>
      <w:tr>
        <w:tc>
          <w:tcPr>
            <w:tcW w:type="dxa" w:w="3216"/>
          </w:tcPr>
          <w:p>
            <w:r>
              <w:t>Documentation/training/UAT</w:t>
            </w:r>
          </w:p>
        </w:tc>
        <w:tc>
          <w:tcPr>
            <w:tcW w:type="dxa" w:w="3216"/>
          </w:tcPr>
          <w:p>
            <w:r>
              <w:t>Prepared + external acceptance</w:t>
            </w:r>
          </w:p>
        </w:tc>
        <w:tc>
          <w:tcPr>
            <w:tcW w:type="dxa" w:w="3216"/>
          </w:tcPr>
          <w:p>
            <w:r>
              <w:t>Handover package supplied; sessions and signed UAT remain external</w:t>
            </w:r>
          </w:p>
        </w:tc>
      </w:tr>
      <w:tr>
        <w:tc>
          <w:tcPr>
            <w:tcW w:type="dxa" w:w="3216"/>
          </w:tcPr>
          <w:p>
            <w:r>
              <w:t>Production hosting/domain/SSL/monitoring</w:t>
            </w:r>
          </w:p>
        </w:tc>
        <w:tc>
          <w:tcPr>
            <w:tcW w:type="dxa" w:w="3216"/>
          </w:tcPr>
          <w:p>
            <w:r>
              <w:t>Configuration</w:t>
            </w:r>
          </w:p>
        </w:tc>
        <w:tc>
          <w:tcPr>
            <w:tcW w:type="dxa" w:w="3216"/>
          </w:tcPr>
          <w:p>
            <w:r>
              <w:t>Docker deployment package; owner hosting, DNS and credentials required</w:t>
            </w:r>
          </w:p>
        </w:tc>
      </w:tr>
      <w:tr>
        <w:tc>
          <w:tcPr>
            <w:tcW w:type="dxa" w:w="3216"/>
          </w:tcPr>
          <w:p>
            <w:r>
              <w:t>Independent security and clinical approval</w:t>
            </w:r>
          </w:p>
        </w:tc>
        <w:tc>
          <w:tcPr>
            <w:tcW w:type="dxa" w:w="3216"/>
          </w:tcPr>
          <w:p>
            <w:r>
              <w:t>External acceptance</w:t>
            </w:r>
          </w:p>
        </w:tc>
        <w:tc>
          <w:tcPr>
            <w:tcW w:type="dxa" w:w="3216"/>
          </w:tcPr>
          <w:p>
            <w:r>
              <w:t>Cannot be self-certified by the developer</w:t>
            </w:r>
          </w:p>
        </w:tc>
      </w:tr>
    </w:tbl>
    <w:p/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Compliance Matrix</dc:title>
  <dc:subject/>
  <dc:creator>INSHUTI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