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4"/>
        </w:rPr>
        <w:t>Production deployment guide</w:t>
      </w:r>
    </w:p>
    <w:p/>
    <w:p>
      <w:pPr>
        <w:pStyle w:val="ListNumber"/>
      </w:pPr>
      <w:r>
        <w:t>Provision managed PostgreSQL, object storage for uploads, application hosting, DNS, TLS, monitoring, email, and optional SMS services in the approved jurisdiction.</w:t>
      </w:r>
    </w:p>
    <w:p>
      <w:pPr>
        <w:pStyle w:val="ListNumber"/>
      </w:pPr>
      <w:r>
        <w:t xml:space="preserve">Configure environment values from </w:t>
      </w:r>
      <w:r>
        <w:rPr>
          <w:rFonts w:ascii="Consolas" w:hAnsi="Consolas"/>
          <w:color w:val="C7254E"/>
          <w:sz w:val="20"/>
        </w:rPr>
        <w:t>backend/.env.example</w:t>
      </w:r>
      <w:r>
        <w:t>; use newly generated secrets of at least 32 random bytes.</w:t>
      </w:r>
    </w:p>
    <w:p>
      <w:pPr>
        <w:pStyle w:val="ListNumber"/>
      </w:pPr>
      <w:r>
        <w:t xml:space="preserve">Set </w:t>
      </w:r>
      <w:r>
        <w:rPr>
          <w:rFonts w:ascii="Consolas" w:hAnsi="Consolas"/>
          <w:color w:val="C7254E"/>
          <w:sz w:val="20"/>
        </w:rPr>
        <w:t>NODE_ENV=production</w:t>
      </w:r>
      <w:r>
        <w:t>, the exact public frontend URL, allowed origins, production database URL, AI credentials, notification credentials, upload storage, and consultation encryption key.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color w:val="C7254E"/>
          <w:sz w:val="20"/>
        </w:rPr>
        <w:t>npm ci</w:t>
      </w:r>
      <w:r>
        <w:t xml:space="preserve"> in the root, frontend, and backend as applicable.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color w:val="C7254E"/>
          <w:sz w:val="20"/>
        </w:rPr>
        <w:t>npm run build</w:t>
      </w:r>
      <w:r>
        <w:t xml:space="preserve">, </w:t>
      </w:r>
      <w:r>
        <w:rPr>
          <w:rFonts w:ascii="Consolas" w:hAnsi="Consolas"/>
          <w:color w:val="C7254E"/>
          <w:sz w:val="20"/>
        </w:rPr>
        <w:t>npm run typecheck</w:t>
      </w:r>
      <w:r>
        <w:t xml:space="preserve">, and </w:t>
      </w:r>
      <w:r>
        <w:rPr>
          <w:rFonts w:ascii="Consolas" w:hAnsi="Consolas"/>
          <w:color w:val="C7254E"/>
          <w:sz w:val="20"/>
        </w:rPr>
        <w:t>npm test --prefix backend</w:t>
      </w:r>
      <w:r>
        <w:t>.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color w:val="C7254E"/>
          <w:sz w:val="20"/>
        </w:rPr>
        <w:t>prisma migrate deploy</w:t>
      </w:r>
      <w:r>
        <w:t xml:space="preserve"> before starting the new API revision.</w:t>
      </w:r>
    </w:p>
    <w:p>
      <w:pPr>
        <w:pStyle w:val="ListNumber"/>
      </w:pPr>
      <w:r>
        <w:t>Deploy backend and frontend, configure the API URL, and verify DNS and certificates.</w:t>
      </w:r>
    </w:p>
    <w:p>
      <w:pPr>
        <w:pStyle w:val="ListNumber"/>
      </w:pPr>
      <w:r>
        <w:t xml:space="preserve">Execute every item in </w:t>
      </w:r>
      <w:r>
        <w:rPr>
          <w:rFonts w:ascii="Consolas" w:hAnsi="Consolas"/>
          <w:color w:val="C7254E"/>
          <w:sz w:val="20"/>
        </w:rPr>
        <w:t>UAT.md</w:t>
      </w:r>
      <w:r>
        <w:t>, the security review, and a backup/restore test.</w:t>
      </w:r>
    </w:p>
    <w:p>
      <w:pPr>
        <w:pStyle w:val="ListNumber"/>
      </w:pPr>
      <w:r>
        <w:t>Record deployment version, operator, time, migration version, test evidence, rollback version, and approver.</w:t>
      </w:r>
    </w:p>
    <w:p>
      <w:r>
        <w:t>Never deploy seed/test identities or local SQLite data to production. Roll back application code only when the database migration is backward compatible; otherwise follow a tested migration rollback plan.</w:t>
      </w:r>
    </w:p>
    <w:sectPr w:rsidR="00FC693F" w:rsidRPr="0006063C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1A1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1A1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Deployment</dc:title>
  <dc:subject/>
  <dc:creator>INSHUTI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