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Maintenance handbook</w:t>
      </w:r>
    </w:p>
    <w:p/>
    <w:p>
      <w:r>
        <w:t>Daily: inspect health monitoring, failed jobs, security alerts, notification failures, storage capacity, and backup completion.</w:t>
      </w:r>
    </w:p>
    <w:p>
      <w:r>
        <w:t>Weekly: review crisis flags, referral queues, unassigned consultations, stale appointments, dependency alerts, audit anomalies, and content awaiting review.</w:t>
      </w:r>
    </w:p>
    <w:p>
      <w:r>
        <w:t>Monthly: patch supported dependencies, verify restore samples, review accounts and permissions, inspect AI quality and safety samples, rotate expiring credentials, and report availability and incidents.</w:t>
      </w:r>
    </w:p>
    <w:p>
      <w:r>
        <w:t>Quarterly: full recovery exercise, access recertification, youth usability/accessibility testing, clinical-content review, capacity test, security tabletop exercise, and SLA review.</w:t>
      </w:r>
    </w:p>
    <w:p>
      <w:r>
        <w:t>Changes require a ticket, risk assessment, peer review, automated tests, staging verification, rollback plan, release record, and owner approval. Never modify production data manually without an approved, logged procedure.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Maintenance</dc:title>
  <dc:subject/>
  <dc:creator>INSHUTI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