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Third-party components and services</w:t>
      </w:r>
    </w:p>
    <w:p/>
    <w:p>
      <w:r>
        <w:t>The authoritative package names and versions are in the root, frontend, and backend lockfiles. Major runtime components include Next.js/React, Express, Prisma/PostgreSQL, Socket.IO (consultation messaging and calls), OpenAI API, Leaflet/OpenStreetMap tiles, Cloudinary (consultation and Health Education Library attachment storage), web-push/VAPID (browser push notifications), Nodemailer/SMTP, optional Twilio SMS, ExcelJS, and PDFKit.</w:t>
      </w:r>
    </w:p>
    <w:p>
      <w:r>
        <w:t>Before production acceptance, generate a software bill of materials, review every license and provider data-processing term, approve AI and notification data flows, configure geographic/data-retention requirements, and record renewal owners. No production health data may be used to train third-party AI models unless expressly authorized by the data controller and lawful.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 Party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