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4"/>
        </w:rPr>
        <w:t>Training and knowledge-transfer plan</w:t>
      </w:r>
    </w:p>
    <w:p/>
    <w:p>
      <w:r>
        <w:t>Run separate practical sessions for super administrators, content/admin staff, government users, healthcare professionals/CHWs, support engineers, and end-user advocates. Each session covers role boundaries, common workflows, privacy, safeguarding, emergencies, incident reporting, and hands-on exercises.</w:t>
      </w:r>
    </w:p>
    <w:p>
      <w:r>
        <w:t>Evidence package: agenda, localized slides, trainer, attendance, environment/build, exercises, questions, competency check, feedback, recording where consented, follow-up actions, and signed completion record.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</dc:title>
  <dc:subject/>
  <dc:creator>INSHUTI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