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User acceptance testing checklist</w:t>
      </w:r>
    </w:p>
    <w:p/>
    <w:p>
      <w:r>
        <w:t>Record tester, environment, build commit, date, result, evidence link, defect ID, retest result, and customer sign-off for every item.</w:t>
      </w:r>
    </w:p>
    <w:p>
      <w:pPr>
        <w:pStyle w:val="ListBullet"/>
      </w:pPr>
      <w:r>
        <w:t>Registration, verification, login, logout, password reset, lockout, session timeout, profile, preferences, deactivation/deletion request</w:t>
      </w:r>
    </w:p>
    <w:p>
      <w:pPr>
        <w:pStyle w:val="ListBullet"/>
      </w:pPr>
      <w:r>
        <w:t>Anonymous and identified AI chat in EN/RW/FR/SW, safety disclaimer, follow-up questions, knowledge sources, crisis response, history deletion</w:t>
      </w:r>
    </w:p>
    <w:p>
      <w:pPr>
        <w:pStyle w:val="ListBullet"/>
      </w:pPr>
      <w:r>
        <w:t>Topic and risk routing to CHW/nurse/midwife/psychologist/doctor; no incorrect assignment when the correct type is unavailable</w:t>
      </w:r>
    </w:p>
    <w:p>
      <w:pPr>
        <w:pStyle w:val="ListBullet"/>
      </w:pPr>
      <w:r>
        <w:t>User/professional consultation authorization, real-time messages, voice notes, files/images, read receipts, escalation, reassignment, history, and 1:1/group audio-video calls</w:t>
      </w:r>
    </w:p>
    <w:p>
      <w:pPr>
        <w:pStyle w:val="ListBullet"/>
      </w:pPr>
      <w:r>
        <w:t>Appointment request, available professional, confirmation/rejection, reschedule, cancel, reminder, outcome</w:t>
      </w:r>
    </w:p>
    <w:p>
      <w:pPr>
        <w:pStyle w:val="ListBullet"/>
      </w:pPr>
      <w:r>
        <w:t>Library search/categories (knowledge base and Health Education Library tabs) and complete multilingual article/attachment publication workflow</w:t>
      </w:r>
    </w:p>
    <w:p>
      <w:pPr>
        <w:pStyle w:val="ListBullet"/>
      </w:pPr>
      <w:r>
        <w:t>Admin/moderator consultation oversight list exposes status and participant names only, never message content</w:t>
      </w:r>
    </w:p>
    <w:p>
      <w:pPr>
        <w:pStyle w:val="ListBullet"/>
      </w:pPr>
      <w:r>
        <w:t>Facility district/sector/type search, map, services, contact, and directions</w:t>
      </w:r>
    </w:p>
    <w:p>
      <w:pPr>
        <w:pStyle w:val="ListBullet"/>
      </w:pPr>
      <w:r>
        <w:t>In-app/email/SMS/push behavior according to configured providers and preferences</w:t>
      </w:r>
    </w:p>
    <w:p>
      <w:pPr>
        <w:pStyle w:val="ListBullet"/>
      </w:pPr>
      <w:r>
        <w:t>Parent, youth, professional, government, admin, and super-admin permission boundaries</w:t>
      </w:r>
    </w:p>
    <w:p>
      <w:pPr>
        <w:pStyle w:val="ListBullet"/>
      </w:pPr>
      <w:r>
        <w:t>National through cell government aggregation and prohibition of individual records</w:t>
      </w:r>
    </w:p>
    <w:p>
      <w:pPr>
        <w:pStyle w:val="ListBullet"/>
      </w:pPr>
      <w:r>
        <w:t>CSV/XLSX/PDF reports, audit records, monitoring, backup, restore, and production smoke tests</w:t>
      </w:r>
    </w:p>
    <w:p>
      <w:pPr>
        <w:pStyle w:val="ListBullet"/>
      </w:pPr>
      <w:r>
        <w:t>Mobile, tablet, desktop, keyboard, screen reader, contrast, low bandwidth, offline/PWA installation</w:t>
      </w:r>
    </w:p>
    <w:p>
      <w:r>
        <w:t>Final acceptance requires zero unresolved critical/high defects and written approval by the Procuring Entity.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</dc:title>
  <dc:subject/>
  <dc:creator>INSHUTI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