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User and role manuals</w:t>
      </w:r>
    </w:p>
    <w:p/>
    <w:p>
      <w:pPr>
        <w:pStyle w:val="Heading2"/>
      </w:pPr>
      <w:r>
        <w:t>Young person or registered user</w:t>
      </w:r>
    </w:p>
    <w:p>
      <w:r>
        <w:t>Use Chat without an account for a private device session, or register to keep appointments and request professional follow-up. AI answers are educational, not diagnosis. For danger or severe symptoms, use the emergency resources shown by the system or contact local emergency care. Clear anonymous history from My Space. Use Profile to select language (English, Kinyarwanda, French, Kiswahili), notification preferences (in-app, email, SMS where configured, and browser push), and anonymous mode. Once a consultation is assigned, message the professional directly — including voice notes, images, and files — or start an audio/video call from the consultation. Browse the Health Education Library for reviewed articles and attachments on each topic. The app can be installed to a home screen and shows a limited offline page if the network drops.</w:t>
      </w:r>
    </w:p>
    <w:p>
      <w:pPr>
        <w:pStyle w:val="Heading2"/>
      </w:pPr>
      <w:r>
        <w:t>Parent or guardian</w:t>
      </w:r>
    </w:p>
    <w:p>
      <w:r>
        <w:t>Use the Parent dashboard for education, appointments, and notifications. A young person’s confidential consultation is not automatically visible to a guardian. Follow applicable safeguarding and consent policies.</w:t>
      </w:r>
    </w:p>
    <w:p>
      <w:pPr>
        <w:pStyle w:val="Heading2"/>
      </w:pPr>
      <w:r>
        <w:t>Healthcare professional</w:t>
      </w:r>
    </w:p>
    <w:p>
      <w:r>
        <w:t>Complete approval before receiving cases. Review assigned consultations, respond only within professional scope (text, voice notes, images, files, and calls), escalate when appropriate, manage appointments, record concise outcomes, and never copy confidential content to unapproved tools.</w:t>
      </w:r>
    </w:p>
    <w:p>
      <w:pPr>
        <w:pStyle w:val="Heading2"/>
      </w:pPr>
      <w:r>
        <w:t>Government user</w:t>
      </w:r>
    </w:p>
    <w:p>
      <w:r>
        <w:t>Use aggregate statistics only for authorized planning. Do not attempt to identify individuals or combine small groups with external datasets.</w:t>
      </w:r>
    </w:p>
    <w:p>
      <w:pPr>
        <w:pStyle w:val="Heading2"/>
      </w:pPr>
      <w:r>
        <w:t>Administrator</w:t>
      </w:r>
    </w:p>
    <w:p>
      <w:r>
        <w:t>Use the minimum role needed. Review professionals and multilingual content (knowledge base and Health Education Library), maintain facilities, monitor flagged safety items and consultation oversight (metadata only — message content stays private to the participants), use the unified admin search, export reports only when authorized, review audit logs, and never share credentials. Super administrators control security-sensitive configuration and other administrators.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Manuals</dc:title>
  <dc:subject/>
  <dc:creator>INSHUTI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