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7DC06F">
      <w:pPr>
        <w:spacing w:before="0" w:after="120" w:line="240" w:lineRule="auto"/>
        <w:jc w:val="center"/>
      </w:pPr>
      <w:r>
        <w:rPr>
          <w:rFonts w:ascii="Times New Roman" w:hAnsi="Times New Roman" w:eastAsia="黑体"/>
          <w:b/>
          <w:color w:val="000000"/>
          <w:sz w:val="36"/>
          <w:szCs w:val="36"/>
        </w:rPr>
        <w:t>核查步骤与同伴示范对同伴建议核查行为的影响</w:t>
      </w:r>
    </w:p>
    <w:p w14:paraId="3F9EDA43">
      <w:pPr>
        <w:spacing w:before="0" w:after="240" w:line="240" w:lineRule="auto"/>
        <w:jc w:val="center"/>
      </w:pPr>
      <w:r>
        <w:rPr>
          <w:rFonts w:ascii="Times New Roman" w:hAnsi="Times New Roman" w:eastAsia="楷体"/>
          <w:b w:val="0"/>
          <w:color w:val="000000"/>
          <w:sz w:val="24"/>
          <w:szCs w:val="24"/>
        </w:rPr>
        <w:t>——基于真实学生数据的AgentSociety社会模拟研究</w:t>
      </w:r>
    </w:p>
    <w:p w14:paraId="26CE0F56">
      <w:pPr>
        <w:keepNext/>
        <w:spacing w:before="240" w:after="12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>一、研究问题与目标</w:t>
      </w:r>
    </w:p>
    <w:p w14:paraId="786C5F0A">
      <w:pPr>
        <w:keepNext/>
        <w:spacing w:before="120" w:after="60" w:line="240" w:lineRule="auto"/>
        <w:jc w:val="left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1.1 问题提出</w:t>
      </w:r>
    </w:p>
    <w:p w14:paraId="2E759F2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同伴互评是初中课堂协作学习的常用环节，互评的实际成效不仅取决于学生能否给出修改建议，更取决于小组成员是否会依据事实依据认真核查同伴建议的对错。实践中学生常直接接受同伴意见，将错误建议带入最终成果。在真实课堂中通过实验操纵这一核查过程，存在组织成本高、无关变量难以控制、干预条件难以重复实施等困难。</w:t>
      </w:r>
      <w:r>
        <w:rPr>
          <w:rFonts w:ascii="Times New Roman" w:hAnsi="Times New Roman" w:eastAsia="宋体"/>
          <w:b w:val="0"/>
          <w:color w:val="000000"/>
          <w:sz w:val="21"/>
          <w:szCs w:val="21"/>
          <w:vertAlign w:val="superscript"/>
        </w:rPr>
        <w:t>[1]</w:t>
      </w:r>
    </w:p>
    <w:p w14:paraId="71B11F2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以大语言模型驱动的生成式智能体为基础的社会模拟，为该问题提供了自下而上的可计算研究路径</w:t>
      </w:r>
      <w:r>
        <w:rPr>
          <w:rFonts w:hint="eastAsia" w:ascii="Times New Roman" w:hAnsi="Times New Roman" w:eastAsia="宋体"/>
          <w:b w:val="0"/>
          <w:color w:val="000000"/>
          <w:sz w:val="21"/>
          <w:szCs w:val="21"/>
          <w:lang w:eastAsia="zh-CN"/>
        </w:rPr>
        <w:t>。</w:t>
      </w:r>
      <w:r>
        <w:rPr>
          <w:rFonts w:ascii="Times New Roman" w:hAnsi="Times New Roman" w:eastAsia="宋体"/>
          <w:b w:val="0"/>
          <w:color w:val="000000"/>
          <w:sz w:val="21"/>
          <w:szCs w:val="21"/>
        </w:rPr>
        <w:t>先采集真实学生数据，据此构建并校准智能体，再在模拟社会环境中系统操纵实验条件，开展可扩展、可重复的计算实验。</w:t>
      </w:r>
      <w:r>
        <w:rPr>
          <w:rFonts w:ascii="Times New Roman" w:hAnsi="Times New Roman" w:eastAsia="宋体"/>
          <w:b w:val="0"/>
          <w:color w:val="000000"/>
          <w:sz w:val="21"/>
          <w:szCs w:val="21"/>
          <w:vertAlign w:val="superscript"/>
        </w:rPr>
        <w:t>[5]</w:t>
      </w:r>
    </w:p>
    <w:p w14:paraId="3971EAD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现有研究较少直接操纵“核查过程”，对程序性核查步骤与同伴行为示范两类干预的独立作用、联合作用及其效果持续性缺乏比较；同时，社会模拟若缺乏真实数据的初始化与校准，其结论的外部效度难以保证。</w:t>
      </w:r>
      <w:r>
        <w:rPr>
          <w:rFonts w:ascii="Times New Roman" w:hAnsi="Times New Roman" w:eastAsia="宋体"/>
          <w:b w:val="0"/>
          <w:color w:val="000000"/>
          <w:sz w:val="21"/>
          <w:szCs w:val="21"/>
          <w:vertAlign w:val="superscript"/>
        </w:rPr>
        <w:t>[6]</w:t>
      </w:r>
    </w:p>
    <w:p w14:paraId="4FFE199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基于此，本研究设置模拟小组改作业情境</w:t>
      </w:r>
      <w:r>
        <w:rPr>
          <w:rFonts w:hint="eastAsia" w:ascii="Times New Roman" w:hAnsi="Times New Roman" w:eastAsia="宋体"/>
          <w:b w:val="0"/>
          <w:color w:val="000000"/>
          <w:sz w:val="21"/>
          <w:szCs w:val="21"/>
          <w:lang w:eastAsia="zh-CN"/>
        </w:rPr>
        <w:t>。</w:t>
      </w:r>
      <w:r>
        <w:rPr>
          <w:rFonts w:ascii="Times New Roman" w:hAnsi="Times New Roman" w:eastAsia="宋体"/>
          <w:b w:val="0"/>
          <w:color w:val="000000"/>
          <w:sz w:val="21"/>
          <w:szCs w:val="21"/>
        </w:rPr>
        <w:t>小组拿到原始短文、同伴修改建议以及可核验事实的资料卡，探究在不同辅助条件下，智能体（由真实初中学生数据建模）是否主动查阅资料、能否甄别正确与错误的同伴建议。核心研究问题：</w:t>
      </w:r>
    </w:p>
    <w:p w14:paraId="494181F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（1）核查步骤指引与同伴行为示范，分别能否提升对同伴建议的主动核查行为、降低错误建议采纳率？</w:t>
      </w:r>
    </w:p>
    <w:p w14:paraId="32FCD7C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（2）两类干预共同施加时是否存在互补增益效应？</w:t>
      </w:r>
    </w:p>
    <w:p w14:paraId="3E2CE11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（3）撤除外部辅助后，自主核查行为能否维持？</w:t>
      </w:r>
    </w:p>
    <w:p w14:paraId="329DE7E3">
      <w:pPr>
        <w:keepNext/>
        <w:spacing w:before="120" w:after="60" w:line="240" w:lineRule="auto"/>
        <w:jc w:val="left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1.2 研究目标</w:t>
      </w:r>
    </w:p>
    <w:p w14:paraId="1F2B62F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1. 采集并处理初中7-9年级学生的真实数据，形成可用于智能体建模的数据资产；</w:t>
      </w:r>
    </w:p>
    <w:p w14:paraId="5439DD4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2. 在AgentSociety中完成数据驱动的智能体建模、初始化、校准与效度验证；</w:t>
      </w:r>
    </w:p>
    <w:p w14:paraId="03304B5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3. 通过2（核查步骤：有/无）×2（同伴示范：有/无）社会模拟计算实验，识别两类干预的主效应、交互效应及行为持续性，形成教学策略建议。</w:t>
      </w:r>
    </w:p>
    <w:p w14:paraId="4D64D2E3">
      <w:pPr>
        <w:keepNext/>
        <w:spacing w:before="240" w:after="12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>二、研究意义</w:t>
      </w:r>
    </w:p>
    <w:p w14:paraId="3FC3896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理论意义：将证据核查行为引入同伴互评研究，区分程序性支持与观察性支持两类干预，揭示“辅助条件—核查行为—建议甄别—文本质量”的作用机制，丰富协作学习的过程性证据。</w:t>
      </w:r>
      <w:r>
        <w:rPr>
          <w:rFonts w:ascii="Times New Roman" w:hAnsi="Times New Roman" w:eastAsia="宋体"/>
          <w:b w:val="0"/>
          <w:color w:val="000000"/>
          <w:sz w:val="21"/>
          <w:szCs w:val="21"/>
          <w:vertAlign w:val="superscript"/>
        </w:rPr>
        <w:t>[2]</w:t>
      </w:r>
    </w:p>
    <w:p w14:paraId="6B4E996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方法学意义：示范“真实数据采集—智能体建模校准—社会模拟计算实验—效度验证”的完整研究链路，为教育领域难以在真实课堂重复实施的实验提供可计算的替代路径。</w:t>
      </w:r>
    </w:p>
    <w:p w14:paraId="78CA184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实践意义：使教研人员能够在低成本、可重复的模拟环境中预先评估不同互评组织方案，为初中课堂同伴互评设计提供可直接参考的工具与策略。</w:t>
      </w:r>
      <w:r>
        <w:rPr>
          <w:rFonts w:ascii="Times New Roman" w:hAnsi="Times New Roman" w:eastAsia="宋体"/>
          <w:b w:val="0"/>
          <w:color w:val="000000"/>
          <w:sz w:val="21"/>
          <w:szCs w:val="21"/>
          <w:vertAlign w:val="superscript"/>
        </w:rPr>
        <w:t>[3]</w:t>
      </w:r>
    </w:p>
    <w:p w14:paraId="4A271ECC">
      <w:pPr>
        <w:keepNext/>
        <w:spacing w:before="240" w:after="12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>三、分析框架</w:t>
      </w:r>
    </w:p>
    <w:p w14:paraId="0587ADC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本研究采用五层分析框架：①真实数据层（学生特征、作业、互评与核查行为数据）；②智能体建模层（由真实数据生成智能体档案、初始记忆与行为参数）；③模拟环境层（任务材料、资料查询工具、小组结构）；④计算实验层（2×2干预条件、三阶段观测、重复运行）；⑤验证分析层（校准与效度验证、指标计算、效应分析）。</w:t>
      </w:r>
    </w:p>
    <w:p w14:paraId="7556FEA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实验设计为2（核查步骤：有/无）×2（同伴示范：有/无）两因素被试间设计，形成四种条件：</w:t>
      </w:r>
    </w:p>
    <w:p w14:paraId="5CAE78D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条件A（基线组）：无核查步骤、无同伴示范；</w:t>
      </w:r>
    </w:p>
    <w:p w14:paraId="38ADFAE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条件B（步骤组）：仅提供标准化核查步骤；</w:t>
      </w:r>
    </w:p>
    <w:p w14:paraId="09051F8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条件C（示范组）：仅提供同伴核查行为示范；</w:t>
      </w:r>
    </w:p>
    <w:p w14:paraId="259DD77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条件D（联合组）：同时提供核查步骤与同伴示范。</w:t>
      </w:r>
    </w:p>
    <w:p w14:paraId="0B7E3D3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观测分为过程行为与产出结果两层：过程层包括资料卡查阅、交流讨论；结果层包括正确/错误建议采纳率与终稿事实错误数。时间维度设置基线→干预→后撤三阶段，检验干预效果及持续性。</w:t>
      </w:r>
      <w:r>
        <w:rPr>
          <w:rFonts w:ascii="Times New Roman" w:hAnsi="Times New Roman" w:eastAsia="宋体"/>
          <w:b w:val="0"/>
          <w:color w:val="000000"/>
          <w:sz w:val="21"/>
          <w:szCs w:val="21"/>
          <w:vertAlign w:val="superscript"/>
        </w:rPr>
        <w:t>[4]</w:t>
      </w:r>
    </w:p>
    <w:p w14:paraId="49102D7A">
      <w:pPr>
        <w:keepNext/>
        <w:spacing w:before="240" w:after="12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>四、研究内容</w:t>
      </w:r>
    </w:p>
    <w:p w14:paraId="14BB78BB">
      <w:pPr>
        <w:keepNext/>
        <w:spacing w:before="120" w:after="60" w:line="240" w:lineRule="auto"/>
        <w:jc w:val="left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研究内容1：真实学生数据采集</w:t>
      </w:r>
    </w:p>
    <w:p w14:paraId="499686C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面向初中7-9年级学生，采集背景特征、写作作业样本、同伴互评行为、资料核查行为及相关测量问卷数据，完成脱敏与建库。</w:t>
      </w:r>
    </w:p>
    <w:p w14:paraId="6A6A9495">
      <w:pPr>
        <w:keepNext/>
        <w:spacing w:before="120" w:after="60" w:line="240" w:lineRule="auto"/>
        <w:jc w:val="left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研究内容2：数据处理与智能体建模</w:t>
      </w:r>
    </w:p>
    <w:p w14:paraId="3258F73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对真实数据进行清洗、编码与特征提取，生成智能体角色档案与个性化初始记忆；同时将真实作业材料转化为模拟任务库（短文、资料卡、修改建议、标准答案表）。</w:t>
      </w:r>
    </w:p>
    <w:p w14:paraId="3F3AF19D">
      <w:pPr>
        <w:keepNext/>
        <w:spacing w:before="120" w:after="60" w:line="240" w:lineRule="auto"/>
        <w:jc w:val="left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研究内容3：模拟初始化、校准与效度验证</w:t>
      </w:r>
    </w:p>
    <w:p w14:paraId="2AE19A3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在AgentSociety中完成智能体冷启动与环境配置；以基线条件运行模拟，将输出与真实学生数据对照，完成参数校准与输入、输出效度验证。</w:t>
      </w:r>
    </w:p>
    <w:p w14:paraId="68546345">
      <w:pPr>
        <w:keepNext/>
        <w:spacing w:before="120" w:after="60" w:line="240" w:lineRule="auto"/>
        <w:jc w:val="left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研究内容4：2×2社会模拟计算实验</w:t>
      </w:r>
    </w:p>
    <w:p w14:paraId="08BF092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在四种条件下运行三阶段模拟，采用多随机种子多次重复，系统采集操作、交互、决策与成果数据。</w:t>
      </w:r>
    </w:p>
    <w:p w14:paraId="612F2169">
      <w:pPr>
        <w:keepNext/>
        <w:spacing w:before="120" w:after="60" w:line="240" w:lineRule="auto"/>
        <w:jc w:val="left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研究内容5：结果分析与策略提炼</w:t>
      </w:r>
    </w:p>
    <w:p w14:paraId="0868F67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检验两类干预的主效应、交互效应与后撤阶段持续性，总结适用于初中课堂的同伴建议核查引导策略。</w:t>
      </w:r>
    </w:p>
    <w:p w14:paraId="78EA2D13">
      <w:pPr>
        <w:keepNext/>
        <w:spacing w:before="240" w:after="12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>五、研究方法与技术路线</w:t>
      </w:r>
    </w:p>
    <w:p w14:paraId="4B451275">
      <w:pPr>
        <w:keepNext/>
        <w:spacing w:before="120" w:after="60" w:line="240" w:lineRule="auto"/>
        <w:jc w:val="left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5.1 研究方法</w:t>
      </w:r>
    </w:p>
    <w:p w14:paraId="5C49E90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1. 多智能体社会模拟法：以AgentSociety为平台，构建由真实学生数据驱动的生成式智能体与小组互动环境；</w:t>
      </w:r>
      <w:r>
        <w:rPr>
          <w:rFonts w:ascii="Times New Roman" w:hAnsi="Times New Roman" w:eastAsia="宋体"/>
          <w:b w:val="0"/>
          <w:color w:val="000000"/>
          <w:sz w:val="21"/>
          <w:szCs w:val="21"/>
          <w:vertAlign w:val="superscript"/>
        </w:rPr>
        <w:t>[7]</w:t>
      </w:r>
    </w:p>
    <w:p w14:paraId="1AC3503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2. 计算实验法：在模拟环境中实施2×2被试间条件操纵，实现真实课堂中难以完成的重复与对照；</w:t>
      </w:r>
    </w:p>
    <w:p w14:paraId="05D1811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3. 校准与效度验证法：采用输入验证保证建模假设与材料来源真实，采用输出验证比较模拟结果与真实数据的个体级匹配和群体级分布；</w:t>
      </w:r>
    </w:p>
    <w:p w14:paraId="5A773AD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4. 量化分析法：以多因素方差分析检验主效应与交互效应，以重复测量分析三阶段变化。</w:t>
      </w:r>
    </w:p>
    <w:p w14:paraId="4411A9B5">
      <w:pPr>
        <w:keepNext/>
        <w:spacing w:before="120" w:after="60" w:line="240" w:lineRule="auto"/>
        <w:jc w:val="left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5.2 技术路线</w:t>
      </w:r>
    </w:p>
    <w:p w14:paraId="6F004AB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1. 真实数据采集与伦理审查；2. 数据清洗编码与智能体建模；3. AgentSociety初始化与校准验证；4. 四条件三阶段模拟运行（多次重复）；5. 数据提取与指标计算；6. 效应分析与策略输出。</w:t>
      </w:r>
    </w:p>
    <w:p w14:paraId="1639AE6F">
      <w:pPr>
        <w:keepNext/>
        <w:spacing w:before="240" w:after="12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>六、真实学生数据来源与处理</w:t>
      </w:r>
    </w:p>
    <w:p w14:paraId="564AFA0D">
      <w:pPr>
        <w:keepNext/>
        <w:spacing w:before="120" w:after="60" w:line="240" w:lineRule="auto"/>
        <w:jc w:val="left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6.1 数据来源</w:t>
      </w:r>
    </w:p>
    <w:p w14:paraId="655BE7B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研究样本为公办初中7-9年级学生，按班级整群抽样，覆盖不同学业层次。采集五类真实数据：</w:t>
      </w:r>
    </w:p>
    <w:p w14:paraId="2FE2E8F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1. 背景特征：年级、性别、学业水平等基础变量；</w:t>
      </w:r>
    </w:p>
    <w:p w14:paraId="6768D7A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2. 写作作业样本：学生在熟悉主题下完成的短文及修改痕迹，作为模拟任务材料来源；</w:t>
      </w:r>
    </w:p>
    <w:p w14:paraId="4AB4399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3. 同伴互评行为：学生给出的修改建议、对他人建议的采纳/拒绝记录及互评对话；</w:t>
      </w:r>
    </w:p>
    <w:p w14:paraId="6AD80BA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4. 资料核查行为：在互评过程中查阅参考资料的行为记录；</w:t>
      </w:r>
    </w:p>
    <w:p w14:paraId="7ADDD63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5. 测量与问卷：与事实核查、信任倾向相关的简短测量。</w:t>
      </w:r>
    </w:p>
    <w:p w14:paraId="168FE70C">
      <w:pPr>
        <w:keepNext/>
        <w:spacing w:before="120" w:after="60" w:line="240" w:lineRule="auto"/>
        <w:jc w:val="left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6.2 采集方式与伦理</w:t>
      </w:r>
    </w:p>
    <w:p w14:paraId="1FC099C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通过学校与家长知情同意后采集；学生信息全程脱敏，仅保留分组编号；数据按教育研究伦理规范存储，仅用于本研究。</w:t>
      </w:r>
    </w:p>
    <w:p w14:paraId="1D4B5E49">
      <w:pPr>
        <w:keepNext/>
        <w:spacing w:before="120" w:after="60" w:line="240" w:lineRule="auto"/>
        <w:jc w:val="left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6.3 数据处理流程</w:t>
      </w:r>
    </w:p>
    <w:p w14:paraId="1D46942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1. 清洗与编码：统一格式，对建议正误、行为事件进行编码；</w:t>
      </w:r>
    </w:p>
    <w:p w14:paraId="7A40F57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2. 特征提取：归纳学业水平、核查倾向、沟通风格等建模特征；</w:t>
      </w:r>
    </w:p>
    <w:p w14:paraId="586A587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3. 档案与记忆生成：将学生特征转化为自然语言智能体档案与个性化初始记忆；</w:t>
      </w:r>
    </w:p>
    <w:p w14:paraId="259FA8C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4. 任务材料库构建：依据真实作业形成原始短文、资料卡、修改建议库与标准答案评分表。</w:t>
      </w:r>
    </w:p>
    <w:p w14:paraId="041712B6">
      <w:pPr>
        <w:keepNext/>
        <w:spacing w:before="120" w:after="60" w:line="240" w:lineRule="auto"/>
        <w:jc w:val="left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6.4 数据进入AgentSociety的方式</w:t>
      </w:r>
    </w:p>
    <w:p w14:paraId="0A294BC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真实数据通过三条路径进入平台：一是作为智能体配置参数与角色档案；二是通过检索增强方式写入智能体初始记忆，避免无记忆冷启动；三是作为环境中的任务材料与资料查询内容。</w:t>
      </w:r>
    </w:p>
    <w:p w14:paraId="54D4BAA9">
      <w:pPr>
        <w:keepNext/>
        <w:spacing w:before="240" w:after="12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>七、社会模拟初始化设计</w:t>
      </w:r>
    </w:p>
    <w:p w14:paraId="634CE5A0">
      <w:pPr>
        <w:keepNext/>
        <w:spacing w:before="120" w:after="60" w:line="240" w:lineRule="auto"/>
        <w:jc w:val="left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7.1 智能体初始化（冷启动）</w:t>
      </w:r>
    </w:p>
    <w:p w14:paraId="0B31DE3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每个智能体以真实学生数据生成档案，明确学业水平、核查倾向与沟通风格，并配置个性化初始记忆，使其初始状态对应真实学生群体，而非通用虚拟角色。</w:t>
      </w:r>
    </w:p>
    <w:p w14:paraId="7ACDD4CB">
      <w:pPr>
        <w:keepNext/>
        <w:spacing w:before="120" w:after="60" w:line="240" w:lineRule="auto"/>
        <w:jc w:val="left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7.2 任务与环境初始化</w:t>
      </w:r>
    </w:p>
    <w:p w14:paraId="51B6358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各组使用完全一致的原始短文（300-500字、内嵌可验证事实点）、资料卡（事实判定唯一金标准）、修改建议（正确/错误各若干、表述风格统一）及标准答案评分表（全程对智能体隐藏）；配置资料查询工具；每组设3名自由决策成员与1名示范角色，示范角色仅用于演示“查证—核对—决定”过程，不透露正式答案。</w:t>
      </w:r>
    </w:p>
    <w:p w14:paraId="284C07DB">
      <w:pPr>
        <w:keepNext/>
        <w:spacing w:before="120" w:after="60" w:line="240" w:lineRule="auto"/>
        <w:jc w:val="left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7.3 实验条件初始化</w:t>
      </w:r>
    </w:p>
    <w:p w14:paraId="76E0BD3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四组的任务指令、界面布局、时间限制完全一致，仅干预不同：基线组仅呈现任务；步骤组呈现标准化核查步骤（查看建议→定位事实点→查阅资料卡→对比判断→决定采纳或驳回）；示范组呈现同伴核查的操作示范记录；联合组两者同时提供。所有智能体初始均未知晓实验目的、答案与分组。</w:t>
      </w:r>
    </w:p>
    <w:p w14:paraId="22D82E71">
      <w:pPr>
        <w:keepNext/>
        <w:spacing w:before="120" w:after="60" w:line="240" w:lineRule="auto"/>
        <w:jc w:val="left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7.4 记录系统与评价标准初始化</w:t>
      </w:r>
    </w:p>
    <w:p w14:paraId="66F3204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平台在模拟启动前配置统一采集规则，全程自动记录操作、交流、决策与成果；指标计算与赋分标准实验前书面确定，实验后严格按既定标准编码，不据结果反向调整。</w:t>
      </w:r>
    </w:p>
    <w:p w14:paraId="21B459BA">
      <w:pPr>
        <w:keepNext/>
        <w:spacing w:before="120" w:after="60" w:line="240" w:lineRule="auto"/>
        <w:jc w:val="left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7.5 校准与效度验证</w:t>
      </w:r>
    </w:p>
    <w:p w14:paraId="3EA086A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1. 输入验证：核查智能体参数、初始记忆与任务材料均可溯源至真实数据；</w:t>
      </w:r>
    </w:p>
    <w:p w14:paraId="1737D4B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2. 输出验证：在基线条件下运行模拟，将资料查阅率、建议采纳率、终稿错误数等与真实学生数据对照，个体级报告行为匹配率，群体级比较分布差异；</w:t>
      </w:r>
    </w:p>
    <w:p w14:paraId="2A38F83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3. 训练与验证分离：建模数据与验证数据分开，避免信息泄漏；未达到预设保真度标准时，调整建模参数并重新验证，达标后方可进入正式计算实验。</w:t>
      </w:r>
    </w:p>
    <w:p w14:paraId="18CDCBEC">
      <w:pPr>
        <w:keepNext/>
        <w:spacing w:before="240" w:after="12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>八、模拟实验数据来源与采集</w:t>
      </w:r>
    </w:p>
    <w:p w14:paraId="5F3A8253">
      <w:pPr>
        <w:keepNext/>
        <w:spacing w:before="120" w:after="60" w:line="240" w:lineRule="auto"/>
        <w:jc w:val="left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8.1 模拟运行数据</w:t>
      </w:r>
    </w:p>
    <w:p w14:paraId="72969C0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正式实验数据由AgentSociety运行产生，包括：操作日志（是否打开资料卡、卡片编号、时长、时间节点）、交互日志（针对每条建议的对话）、决策日志（每条建议采纳/拒绝结果）、成果数据（最终修改文稿）。</w:t>
      </w:r>
    </w:p>
    <w:p w14:paraId="0638AA35">
      <w:pPr>
        <w:keepNext/>
        <w:spacing w:before="120" w:after="60" w:line="240" w:lineRule="auto"/>
        <w:jc w:val="left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8.2 重复运行设计</w:t>
      </w:r>
    </w:p>
    <w:p w14:paraId="6656444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为控制大语言模型生成的随机性，每种条件采用多个随机种子、多次重复运行，以小组整次运行为分析单元，报告指标的均值与分布，成员不视为独立样本。</w:t>
      </w:r>
    </w:p>
    <w:p w14:paraId="35A121FC">
      <w:pPr>
        <w:keepNext/>
        <w:spacing w:before="120" w:after="60" w:line="240" w:lineRule="auto"/>
        <w:jc w:val="left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8.3 指标计算</w:t>
      </w:r>
    </w:p>
    <w:p w14:paraId="691A528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1. 资料卡自主查阅率=查阅资料卡的智能体数/组内总人数，并统计平均查阅频次；</w:t>
      </w:r>
    </w:p>
    <w:p w14:paraId="3C96F36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2. 正确建议采纳率=被采纳的正确建议数/正确建议总数；错误建议采纳率=被采纳的错误建议数/错误建议总数；</w:t>
      </w:r>
    </w:p>
    <w:p w14:paraId="55C90BD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3. 终稿事实错误数=最终文稿中留存的事实错误数量。</w:t>
      </w:r>
    </w:p>
    <w:p w14:paraId="2BDDC180">
      <w:pPr>
        <w:keepNext/>
        <w:spacing w:before="120" w:after="60" w:line="240" w:lineRule="auto"/>
        <w:jc w:val="left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8.4 两类数据的关系</w:t>
      </w:r>
    </w:p>
    <w:p w14:paraId="359D230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真实学生数据用于智能体建模、初始化、校准与效度验证，是模拟可信度的依据；模拟运行数据是2×2计算实验的直接结果，用于回答干预效果问题，二者分层管理、不得混用。</w:t>
      </w:r>
    </w:p>
    <w:p w14:paraId="30985022">
      <w:pPr>
        <w:keepNext/>
        <w:spacing w:before="240" w:after="12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>九、实施条件与支持需求</w:t>
      </w:r>
    </w:p>
    <w:p w14:paraId="78E80F1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1. 平台与工具：可部署AgentSociety的计算环境，支持智能体配置、材料推送、日志记录与数据导出；</w:t>
      </w:r>
    </w:p>
    <w:p w14:paraId="47AD8BA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2. 算力支持：稳定的大语言模型接口与相应调用额度；</w:t>
      </w:r>
    </w:p>
    <w:p w14:paraId="6F85868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3. 数据与伦理：合作学校支持数据采集，完成知情同意与脱敏；</w:t>
      </w:r>
    </w:p>
    <w:p w14:paraId="7777D39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4. 人力与周期：团队承担数据采集、建模、模拟与分析，总周期约8-10周（数据采集与处理3-4周，建模校准2周，计算实验与分析3-4周）。</w:t>
      </w:r>
    </w:p>
    <w:p w14:paraId="74A94E4C">
      <w:pPr>
        <w:keepNext/>
        <w:spacing w:before="240" w:after="12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>十、预期成果与评估</w:t>
      </w:r>
    </w:p>
    <w:p w14:paraId="22946ED5">
      <w:pPr>
        <w:keepNext/>
        <w:spacing w:before="120" w:after="60" w:line="240" w:lineRule="auto"/>
        <w:jc w:val="left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10.1 预期成果</w:t>
      </w:r>
    </w:p>
    <w:p w14:paraId="575703D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1. 一套初中学生真实数据集与智能体建模方案；</w:t>
      </w:r>
      <w:bookmarkStart w:id="0" w:name="_GoBack"/>
      <w:bookmarkEnd w:id="0"/>
      <w:r>
        <w:rPr>
          <w:rFonts w:ascii="Times New Roman" w:hAnsi="Times New Roman" w:eastAsia="宋体"/>
          <w:b w:val="0"/>
          <w:color w:val="000000"/>
          <w:sz w:val="21"/>
          <w:szCs w:val="21"/>
        </w:rPr>
        <w:t>2. 经校准与效度验证的AgentSociety社会模拟环境；3. 2×2计算实验报告，揭示两类干预的效应与持续性；4. 面向初中课堂的同伴互评实践策略建议。</w:t>
      </w:r>
    </w:p>
    <w:p w14:paraId="6511BE93">
      <w:pPr>
        <w:keepNext/>
        <w:spacing w:before="120" w:after="60" w:line="240" w:lineRule="auto"/>
        <w:jc w:val="left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10.2 结果预判</w:t>
      </w:r>
    </w:p>
    <w:p w14:paraId="166985D4">
      <w:pPr>
        <w:spacing w:before="0" w:after="0" w:line="360" w:lineRule="auto"/>
        <w:ind w:firstLine="420"/>
        <w:jc w:val="both"/>
        <w:rPr>
          <w:rFonts w:ascii="Times New Roman" w:hAnsi="Times New Roman" w:eastAsia="宋体"/>
          <w:b w:val="0"/>
          <w:color w:val="000000"/>
          <w:sz w:val="21"/>
          <w:szCs w:val="21"/>
        </w:rPr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1. 正向：两类干预均提升自主核查率、降低错误建议采纳率，联合组最优，后撤阶段行为部分维持；</w:t>
      </w:r>
    </w:p>
    <w:p w14:paraId="0FF5F729">
      <w:pPr>
        <w:spacing w:before="0" w:after="0" w:line="360" w:lineRule="auto"/>
        <w:ind w:firstLine="420"/>
        <w:jc w:val="both"/>
        <w:rPr>
          <w:rFonts w:ascii="Times New Roman" w:hAnsi="Times New Roman" w:eastAsia="宋体"/>
          <w:b w:val="0"/>
          <w:color w:val="000000"/>
          <w:sz w:val="21"/>
          <w:szCs w:val="21"/>
        </w:rPr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2. 混合：仅一类干预显著，无协同增益；</w:t>
      </w:r>
    </w:p>
    <w:p w14:paraId="68EA9D9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3. 无效：两类干预均无显著效果，则重新优化建模与干预呈现。</w:t>
      </w:r>
    </w:p>
    <w:p w14:paraId="347867F0">
      <w:pPr>
        <w:keepNext/>
        <w:spacing w:before="120" w:after="60" w:line="240" w:lineRule="auto"/>
        <w:jc w:val="left"/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10.3 评估标准</w:t>
      </w:r>
    </w:p>
    <w:p w14:paraId="5D23F51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以错误建议采纳率、资料卡自主查阅率为核心指标，以后撤阶段行为留存率判断持续性；同时以输出验证的保真度作为模拟结论可信的前提。</w:t>
      </w:r>
    </w:p>
    <w:p w14:paraId="2C4E7E21">
      <w:pPr>
        <w:spacing w:before="120" w:after="0" w:line="360" w:lineRule="auto"/>
        <w:ind w:firstLine="420"/>
        <w:jc w:val="both"/>
      </w:pPr>
      <w:r>
        <w:rPr>
          <w:rFonts w:ascii="Times New Roman" w:hAnsi="Times New Roman" w:eastAsia="宋体"/>
          <w:b/>
          <w:color w:val="000000"/>
          <w:sz w:val="21"/>
          <w:szCs w:val="21"/>
        </w:rPr>
        <w:t>边界说明：</w:t>
      </w:r>
      <w:r>
        <w:rPr>
          <w:rFonts w:ascii="Times New Roman" w:hAnsi="Times New Roman" w:eastAsia="宋体"/>
          <w:b w:val="0"/>
          <w:color w:val="000000"/>
          <w:sz w:val="21"/>
          <w:szCs w:val="21"/>
        </w:rPr>
        <w:t>社会模拟结论的效度取决于真实数据的建模与校准质量；模拟结果是对真实学生群体在该任务情境下行为的可计算推断，而非真实行为本身，必要时可安排小样本真实学生实验进行交叉验证。</w:t>
      </w:r>
    </w:p>
    <w:p w14:paraId="48046BB0">
      <w:pPr>
        <w:keepNext/>
        <w:spacing w:before="240" w:after="120" w:line="240" w:lineRule="auto"/>
        <w:jc w:val="left"/>
      </w:pPr>
      <w:r>
        <w:rPr>
          <w:rFonts w:ascii="Times New Roman" w:hAnsi="Times New Roman" w:eastAsia="黑体"/>
          <w:b/>
          <w:color w:val="000000"/>
          <w:sz w:val="28"/>
          <w:szCs w:val="28"/>
        </w:rPr>
        <w:t>参考文献</w:t>
      </w:r>
    </w:p>
    <w:p w14:paraId="42D6DA46">
      <w:pPr>
        <w:spacing w:before="0" w:after="0" w:line="240" w:lineRule="auto"/>
        <w:ind w:left="360" w:hanging="360"/>
        <w:jc w:val="left"/>
      </w:pPr>
      <w:r>
        <w:rPr>
          <w:rFonts w:ascii="Times New Roman" w:hAnsi="Times New Roman" w:eastAsia="宋体"/>
          <w:b w:val="0"/>
          <w:color w:val="000000"/>
          <w:sz w:val="18"/>
          <w:szCs w:val="18"/>
        </w:rPr>
        <w:t>[1] DOUBLE K S, McGRANE J A, HOPFENBECK T N, et al. Peer feedback and learning: A meta-analysis[J]. Educational Psychology Review, 2020, 32(2): 481-509.</w:t>
      </w:r>
    </w:p>
    <w:p w14:paraId="575A481F">
      <w:pPr>
        <w:spacing w:before="0" w:after="0" w:line="240" w:lineRule="auto"/>
        <w:ind w:left="360" w:hanging="360"/>
        <w:jc w:val="left"/>
      </w:pPr>
      <w:r>
        <w:rPr>
          <w:rFonts w:ascii="Times New Roman" w:hAnsi="Times New Roman" w:eastAsia="宋体"/>
          <w:b w:val="0"/>
          <w:color w:val="000000"/>
          <w:sz w:val="18"/>
          <w:szCs w:val="18"/>
        </w:rPr>
        <w:t>[2] ASHERY O, RYAN J B, HENRICH J, et al. A hidden cost of group interactions: Conformity to misinformation within social groups[J]. Science Advances, 2025, 11(20): eadu9368.</w:t>
      </w:r>
    </w:p>
    <w:p w14:paraId="5E1A5D89">
      <w:pPr>
        <w:spacing w:before="0" w:after="0" w:line="240" w:lineRule="auto"/>
        <w:ind w:left="360" w:hanging="360"/>
        <w:jc w:val="left"/>
      </w:pPr>
      <w:r>
        <w:rPr>
          <w:rFonts w:ascii="Times New Roman" w:hAnsi="Times New Roman" w:eastAsia="宋体"/>
          <w:b w:val="0"/>
          <w:color w:val="000000"/>
          <w:sz w:val="18"/>
          <w:szCs w:val="18"/>
        </w:rPr>
        <w:t>[3] BASTANI H, BASTANI O, SUNGU A, et al. AI access and impact on learning[J]. Proceedings of the National Academy of Sciences, 2025, 122(26): e2422633122.</w:t>
      </w:r>
    </w:p>
    <w:p w14:paraId="79445616">
      <w:pPr>
        <w:spacing w:before="0" w:after="0" w:line="240" w:lineRule="auto"/>
        <w:ind w:left="360" w:hanging="360"/>
        <w:jc w:val="left"/>
      </w:pPr>
      <w:r>
        <w:rPr>
          <w:rFonts w:ascii="Times New Roman" w:hAnsi="Times New Roman" w:eastAsia="宋体"/>
          <w:b w:val="0"/>
          <w:color w:val="000000"/>
          <w:sz w:val="18"/>
          <w:szCs w:val="18"/>
        </w:rPr>
        <w:t>[4] AKATA Z, BALLI F, DE VRIES E, et al. Does repetition cause people to trust untrustworthy AI?[J]. Nature Human Behaviour, 2025, 9: 1380-1390.</w:t>
      </w:r>
    </w:p>
    <w:p w14:paraId="7C5807D5">
      <w:pPr>
        <w:spacing w:before="0" w:after="0" w:line="240" w:lineRule="auto"/>
        <w:ind w:left="360" w:hanging="360"/>
        <w:jc w:val="left"/>
      </w:pPr>
      <w:r>
        <w:rPr>
          <w:rFonts w:ascii="Times New Roman" w:hAnsi="Times New Roman" w:eastAsia="宋体"/>
          <w:b w:val="0"/>
          <w:color w:val="000000"/>
          <w:sz w:val="18"/>
          <w:szCs w:val="18"/>
        </w:rPr>
        <w:t>[5] PIAO J, YAN Y, ZHANG J, et al. AgentSociety: Large-scale simulation of LLM-driven generative agents advances understanding of human behaviors and society[EB/OL]. arXiv:2502.08691, 2025. https://arxiv.org/abs/2502.08691.</w:t>
      </w:r>
    </w:p>
    <w:p w14:paraId="782798BB">
      <w:pPr>
        <w:spacing w:before="0" w:after="0" w:line="240" w:lineRule="auto"/>
        <w:ind w:left="360" w:hanging="360"/>
        <w:jc w:val="left"/>
      </w:pPr>
      <w:r>
        <w:rPr>
          <w:rFonts w:ascii="Times New Roman" w:hAnsi="Times New Roman" w:eastAsia="宋体"/>
          <w:b w:val="0"/>
          <w:color w:val="000000"/>
          <w:sz w:val="18"/>
          <w:szCs w:val="18"/>
        </w:rPr>
        <w:t>[6] COMPOSTA E, FONTANA N, CORSO F, et al. Simulating online social media conversations on controversial topics using AI agents calibrated on real-world data[EB/OL]. arXiv:2509.18985, 2025. https://arxiv.org/abs/2509.18985.</w:t>
      </w:r>
    </w:p>
    <w:p w14:paraId="3AC29671">
      <w:pPr>
        <w:spacing w:before="0" w:after="0" w:line="240" w:lineRule="auto"/>
        <w:ind w:left="360" w:hanging="360"/>
        <w:jc w:val="left"/>
      </w:pPr>
      <w:r>
        <w:rPr>
          <w:rFonts w:ascii="Times New Roman" w:hAnsi="Times New Roman" w:eastAsia="宋体"/>
          <w:b w:val="0"/>
          <w:color w:val="000000"/>
          <w:sz w:val="18"/>
          <w:szCs w:val="18"/>
        </w:rPr>
        <w:t>[7] FIBLAB. AgentSociety 2 Documentation[EB/OL]. [2026-09-24]. https://agentsociety2.readthedocs.io/en/latest/env_modules.html.</w:t>
      </w:r>
    </w:p>
    <w:sectPr>
      <w:footerReference r:id="rId5" w:type="default"/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6F0A25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1F6D6C"/>
    <w:multiLevelType w:val="singleLevel"/>
    <w:tmpl w:val="B51F6D6C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EBD03276"/>
    <w:multiLevelType w:val="singleLevel"/>
    <w:tmpl w:val="EBD03276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2">
    <w:nsid w:val="EC7DD163"/>
    <w:multiLevelType w:val="singleLevel"/>
    <w:tmpl w:val="EC7DD163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3">
    <w:nsid w:val="FF4E06AA"/>
    <w:multiLevelType w:val="singleLevel"/>
    <w:tmpl w:val="FF4E06AA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37EF170E"/>
    <w:multiLevelType w:val="singleLevel"/>
    <w:tmpl w:val="37EF170E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6D7FC9A8"/>
    <w:multiLevelType w:val="singleLevel"/>
    <w:tmpl w:val="6D7FC9A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</w:compat>
  <w:rsids>
    <w:rsidRoot w:val="00000000"/>
    <w:rsid w:val="1FF52898"/>
    <w:rsid w:val="F73FF0A1"/>
    <w:rsid w:val="FEFF45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Office_12.1.21938.21938_F1E327BC-269C-435d-A152-05C5408002CA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wener</cp:lastModifiedBy>
  <dcterms:modified xsi:type="dcterms:W3CDTF">2026-09-24T11:30:03Z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2052-12.1.21938.21938</vt:lpwstr>
  </property>
  <property fmtid="{D5CDD505-2E9C-101B-9397-08002B2CF9AE}" pid="3" name="ICV">
    <vt:lpwstr>EA2F91F181FECCD66398B46A31A29010_42</vt:lpwstr>
  </property>
</Properties>
</file>