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400" w:lineRule="atLeast"/>
        <w:jc w:val="center"/>
      </w:pPr>
      <w:r>
        <w:rPr>
          <w:rFonts w:ascii="Times New Roman" w:eastAsia="Hiragino Sans GB"/>
          <w:b/>
          <w:bCs/>
          <w:color w:val="000000"/>
          <w:sz w:val="30"/>
          <w:szCs w:val="30"/>
        </w:rPr>
        <w:t xml:space="preserve">核查步骤与同伴示范对同伴建议核查行为的影响</w:t>
      </w:r>
    </w:p>
    <w:p>
      <w:pPr>
        <w:spacing w:after="140" w:line="312"/>
        <w:jc w:val="center"/>
      </w:pPr>
      <w:r>
        <w:rPr>
          <w:rFonts w:ascii="Times New Roman" w:eastAsia="Songti SC"/>
          <w:color w:val="000000"/>
          <w:sz w:val="21"/>
          <w:szCs w:val="21"/>
        </w:rPr>
        <w:t xml:space="preserve">——基于真实学生数据与AgentSociety的社会模拟研究设计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一、研究课题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本研究聚焦初中同伴互评中的建议核查环节：小组依据资料卡修订短文时，成员会不会主动查证、甄别同伴修改建议的对错。课题将两类干预——程序性支持（标准化核查步骤指引）与观察性支持（同伴核查行为示范）——作为实验变量，基于真实学生数据构建智能体社会，在可重复的模拟环境中检验其对核查行为、错误建议甄别与修改质量的影响及效果的持续性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二、研究背景与意义：为什么在未来教育中重要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同伴互评是协作学习的常用环节，但学生往往直接接受同伴意见，错误建议易随群体从众进入最终成果；在真实课堂中操纵核查过程，存在成本高、变量难控、难以重复的固有困难。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在未来教育场景中，其重要性有二：其一，学习者面对同伴与人工智能并存的多元信息流，基于证据的核查与甄别是核心素养，本研究揭示的正是其形成条件；其二，大语言模型驱动的多智能体社会模拟为教育研究提供新范式——教学干预可先在模拟中低成本预演与比较，再进入真实课堂。本研究据此示范“真实数据采集—智能体建模校准—社会模拟实验—效度验证”的完整链路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三、核心研究问题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（1）核查步骤指引与同伴示范，分别能否提升主动核查行为、降低错误建议采纳率？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（2）两类干预共同施加时，是否存在互补增益（交互效应）？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（3）撤除外部辅助后，自主核查行为能否维持？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四、研究思路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遵循“真实数据—智能体—模拟社会—计算实验”路径：采集初中7-9年级学生真实数据（背景特征、写作样本、互评与资料核查行为、问卷），脱敏后生成智能体角色档案与个性化初始记忆，并由真实作业构建任务材料库；在AgentSociety中初始化后，先以基线条件运行模拟，将资料查阅率、建议采纳率等输出与真实数据对照，完成参数校准与输入、输出效度验证；再运行正式实验，分析干预效应并提炼课堂策略。任务中各组获得原始短文、事实资料卡与正误混杂的同伴建议，标准答案全程对智能体隐藏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五、研究方法与研究工具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研究方法：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多智能体社会模拟法（真实数据驱动的生成式智能体）；计算实验法（被试间条件操纵、多随机种子重复）；校准与效度验证法（输入验证保证建模可溯源，输出验证比较个体级匹配与群体级分布，训练与验证数据分离）；量化分析法（多因素方差分析检验主效应与交互效应，重复测量分析阶段变化）。</w:t>
      </w:r>
    </w:p>
    <w:p>
      <w:pPr>
        <w:spacing w:after="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研究工具：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AgentSociety多智能体模拟平台；脱敏真实学生数据集；标准化任务材料库（内嵌可验证事实点的短文、事实判定资料卡、风格统一的正误修改建议、隐藏式评分标准）。</w:t>
      </w:r>
    </w:p>
    <w:p>
      <w:pPr>
        <w:pStyle w:val="Heading1"/>
        <w:spacing w:after="50" w:before="110" w:line="312"/>
      </w:pPr>
      <w:r>
        <w:rPr>
          <w:rFonts w:ascii="Times New Roman" w:eastAsia="Hiragino Sans GB"/>
          <w:b/>
          <w:bCs/>
          <w:color w:val="000000"/>
          <w:sz w:val="24"/>
          <w:szCs w:val="24"/>
        </w:rPr>
        <w:t xml:space="preserve">六、实验设计</w:t>
      </w:r>
    </w:p>
    <w:p>
      <w:pPr>
        <w:spacing w:after="30" w:line="312"/>
        <w:ind w:firstLine="420"/>
        <w:jc w:val="both"/>
      </w:pP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采用2（核查步骤：有/无）×2（同伴示范：有/无）被试间两因素设计，叠加“基线—干预—后撤”三阶段观测；每种条件多随机种子重复运行，以小组整次运行为分析单元。四种条件见表1。</w:t>
      </w:r>
    </w:p>
    <w:p>
      <w:pPr>
        <w:keepNext/>
        <w:spacing w:after="40" w:before="80" w:line="288"/>
        <w:jc w:val="center"/>
      </w:pPr>
      <w:r>
        <w:rPr>
          <w:rFonts w:ascii="Times New Roman" w:eastAsia="Hiragino Sans GB"/>
          <w:b/>
          <w:bCs/>
          <w:color w:val="000000"/>
          <w:sz w:val="18"/>
          <w:szCs w:val="18"/>
        </w:rPr>
        <w:t xml:space="preserve">表1  2×2实验条件</w:t>
      </w:r>
    </w:p>
    <w:tbl>
      <w:tblPr>
        <w:tblW w:type="pct" w:w="100%"/>
        <w:tblBorders>
          <w:top w:val="single" w:color="606060" w:sz="4"/>
          <w:left w:val="none"/>
          <w:bottom w:val="single" w:color="606060" w:sz="4"/>
          <w:right w:val="none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5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条件</w:t>
            </w:r>
          </w:p>
        </w:tc>
        <w:tc>
          <w:tcPr>
            <w:tcW w:type="pct" w:w="13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核查步骤</w:t>
            </w:r>
          </w:p>
        </w:tc>
        <w:tc>
          <w:tcPr>
            <w:tcW w:type="pct" w:w="13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同伴示范</w:t>
            </w:r>
          </w:p>
        </w:tc>
        <w:tc>
          <w:tcPr>
            <w:tcW w:type="pct" w:w="59%"/>
            <w:shd w:fill="F1F5F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Hiragino Sans GB"/>
                <w:b/>
                <w:bCs/>
                <w:color w:val="000000"/>
                <w:sz w:val="19"/>
                <w:szCs w:val="19"/>
              </w:rPr>
              <w:t xml:space="preserve">干预内容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A 基线组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pct" w:w="5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仅呈现任务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B 步骤组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pct" w:w="5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标准化核查步骤：查看建议、定位事实点、查阅资料卡、对比判断、决定采纳或驳回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C 示范组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pct" w:w="5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同伴“查证—核对—决定”操作示范记录</w:t>
            </w:r>
          </w:p>
        </w:tc>
      </w:tr>
      <w:tr>
        <w:trPr>
          <w:cantSplit/>
        </w:trPr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center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D 联合组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pct" w:w="13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有</w:t>
            </w:r>
          </w:p>
        </w:tc>
        <w:tc>
          <w:tcPr>
            <w:tcW w:type="pct" w:w="59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line="264"/>
              <w:jc w:val="left"/>
            </w:pPr>
            <w:r>
              <w:rPr>
                <w:rFonts w:ascii="Times New Roman" w:eastAsia="Songti SC"/>
                <w:color w:val="000000"/>
                <w:sz w:val="19"/>
                <w:szCs w:val="19"/>
              </w:rPr>
              <w:t xml:space="preserve">两类干预同时提供</w:t>
            </w:r>
          </w:p>
        </w:tc>
      </w:tr>
    </w:tbl>
    <w:p>
      <w:pPr>
        <w:spacing w:after="30" w:line="312"/>
        <w:ind w:firstLine="420"/>
        <w:jc w:val="both"/>
      </w:pPr>
      <w:r>
        <w:rPr>
          <w:rFonts w:ascii="Times New Roman" w:eastAsia="Songti SC"/>
          <w:b/>
          <w:bCs/>
          <w:color w:val="000000"/>
          <w:sz w:val="21"/>
          <w:szCs w:val="21"/>
        </w:rPr>
        <w:t xml:space="preserve">因变量分两层：</w:t>
      </w:r>
      <w:r>
        <w:rPr>
          <w:rFonts w:ascii="Times New Roman" w:eastAsia="Songti SC"/>
          <w:b w:val="false"/>
          <w:bCs w:val="false"/>
          <w:color w:val="000000"/>
          <w:sz w:val="21"/>
          <w:szCs w:val="21"/>
        </w:rPr>
        <w:t xml:space="preserve">过程层为资料卡自主查阅率与查阅频次；结果层为正确建议采纳率、错误建议采纳率与终稿事实错误数；以后撤阶段核查行为留存率判断持续性。需说明的边界是：模拟结论是对真实群体行为的可计算推断而非真实行为本身，必要时可安排小规模真实课堂实验交叉验证。</w:t>
      </w:r>
    </w:p>
    <w:p>
      <w:pPr>
        <w:spacing w:after="40" w:before="100" w:line="264"/>
      </w:pPr>
      <w:r>
        <w:rPr>
          <w:rFonts w:ascii="Times New Roman" w:eastAsia="Hiragino Sans GB"/>
          <w:b/>
          <w:bCs/>
          <w:color w:val="000000"/>
          <w:sz w:val="19"/>
          <w:szCs w:val="19"/>
        </w:rPr>
        <w:t xml:space="preserve">主要参考文献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[1] DOUBLE K S, McGRANE J A, HOPFENBECK T N, et al. Peer feedback and learning: A meta-analysis. Educational Psychology Review, 2020, 32(2): 481-509.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[2] ASHERY O, RYAN J B, HENRICH J, et al. A hidden cost of group interactions: Conformity to misinformation within social groups. Science Advances, 2025, 11(20): eadu9368.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[3] PIAO J, YAN Y, ZHANG J, et al. AgentSociety: Large-scale simulation of LLM-driven generative agents advances understanding of human behaviors and society. arXiv:2502.08691, 2025.</w:t>
      </w:r>
    </w:p>
    <w:p>
      <w:pPr>
        <w:spacing w:after="10" w:line="240"/>
        <w:ind w:left="320" w:hanging="320"/>
        <w:jc w:val="left"/>
      </w:pPr>
      <w:r>
        <w:rPr>
          <w:rFonts w:ascii="Times New Roman" w:eastAsia="Songti SC"/>
          <w:color w:val="000000"/>
          <w:sz w:val="17"/>
          <w:szCs w:val="17"/>
        </w:rPr>
        <w:t xml:space="preserve">[4] COMPOSTA E, FONTANA N, CORSO F, et al. Simulating online social media conversations on controversial topics using AI agents calibrated on real-world data. arXiv:2509.18985, 2025.</w:t>
      </w:r>
    </w:p>
    <w:sectPr>
      <w:footerReference w:type="default" r:id="rId7"/>
      <w:pgSz w:w="11906" w:h="16838" w:orient="portrait"/>
      <w:pgMar w:top="1134" w:right="1247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ongti SC"/>
        <w:color w:val="00000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ongti SC"/>
        <w:color w:val="000000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30" w:line="312"/>
    </w:pPr>
    <w:rPr>
      <w:rFonts w:ascii="Times New Roman" w:eastAsia="Hiragino Sans GB"/>
      <w:b/>
      <w:bC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核查步骤与同伴示范对同伴建议核查行为的影响</dc:title>
  <dc:creator>RSI教育智能体研究室</dc:creator>
  <cp:lastModifiedBy>Un-named</cp:lastModifiedBy>
  <cp:revision>1</cp:revision>
  <dcterms:created xsi:type="dcterms:W3CDTF">2026-09-24T08:03:04.571Z</dcterms:created>
  <dcterms:modified xsi:type="dcterms:W3CDTF">2026-09-24T08:03:04.572Z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