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5FBDC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教师帮助有限时先帮助谁</w:t>
      </w:r>
    </w:p>
    <w:p w14:paraId="194ED01B">
      <w:r>
        <w:t>研究思路与实验方案</w:t>
      </w:r>
    </w:p>
    <w:p w14:paraId="1B6A78C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 xml:space="preserve"> 这项研究想解决什么问题</w:t>
      </w:r>
    </w:p>
    <w:p w14:paraId="6AB62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一个班级里，有些成员已经理解了材料，有些成员还存在误解。教师没有时间逐个解释，只能先帮助几个人。这时有两个合理选择</w:t>
      </w:r>
      <w:r>
        <w:rPr>
          <w:rFonts w:hint="eastAsia"/>
          <w:lang w:eastAsia="zh-CN"/>
        </w:rPr>
        <w:t>，</w:t>
      </w:r>
      <w:r>
        <w:t>先帮助当前最容易出错的人，或者先帮助与多个小组都有联系的人，希望他们把解释带给更多同伴。</w:t>
      </w:r>
    </w:p>
    <w:p w14:paraId="7618A3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这项研究想知道，在教师能直接帮助的人数相同时，哪种安排能够让更多成员纠正错误，又会不会遗漏最需要帮助的人。还想进一步比较</w:t>
      </w:r>
      <w:r>
        <w:rPr>
          <w:rFonts w:hint="eastAsia"/>
          <w:lang w:eastAsia="zh-CN"/>
        </w:rPr>
        <w:t>，</w:t>
      </w:r>
      <w:r>
        <w:t>教师只是提供纠正材料，和教师同时说明“怎样把材料讲给同伴”，结果是否不同。</w:t>
      </w:r>
    </w:p>
    <w:p w14:paraId="3D491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b/>
          <w:bCs/>
        </w:rPr>
      </w:pPr>
      <w:r>
        <w:t>可以把题目写为：</w:t>
      </w:r>
      <w:r>
        <w:rPr>
          <w:b/>
          <w:bCs/>
        </w:rPr>
        <w:t>教师帮助对象和同伴转达方式对小组纠错效果的影响——基于AgentSociety的学习网络实验。</w:t>
      </w:r>
    </w:p>
    <w:p w14:paraId="1F432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这里把资源分配问题具体化为“3个直接帮助名额怎么用”，把传播问题具体化为“这份纠正材料能否通过同伴传开”。第一阶段使用24名AI角色和人工设置的联系网络，不直接使用真实班级群聊。</w:t>
      </w:r>
    </w:p>
    <w:p w14:paraId="631E45C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二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为什么值得研究</w:t>
      </w:r>
    </w:p>
    <w:p w14:paraId="02D91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Centola的网络实验说明，人与人怎样连接会影响行为传播。[1] 这给本研究一个合理起点：同样的解释，先发给不同位置的人，后来传开的范围可能不同。不过，该研究不能告诉我们某种课堂选人办法一定最好。</w:t>
      </w:r>
    </w:p>
    <w:p w14:paraId="17A74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关于社会约定改变的真实参与者实验，也说明群体结果值得从互动过程来研究。[2] 本研究处理的是有证据、有正确答案的任务，与没有唯一正确答案的社会约定不同，因此不能把已有实验中的比例或临界点直接拿来当课堂参数。</w:t>
      </w:r>
    </w:p>
    <w:p w14:paraId="33292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AgentSociety平台论文包含信息传播和干预案例，可以作为搭建消息流转环境的技术参照。[3] 但平台论文的城市或社会案例并没有验证本研究中的教师帮助策略。研究仍需自行规定任务、帮助预算、选人规则和评价办法。</w:t>
      </w:r>
    </w:p>
    <w:p w14:paraId="4E4B00C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三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最想回答的三个问题</w:t>
      </w:r>
    </w:p>
    <w:p w14:paraId="4AFA578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先帮助错误较多者，和先帮助连接不同小组者，在全班最终错误率上有什么差别？</w:t>
      </w:r>
    </w:p>
    <w:p w14:paraId="5E10834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420" w:firstLineChars="200"/>
        <w:textAlignment w:val="auto"/>
      </w:pPr>
      <w:r>
        <w:t>给受助者一个简单的转达方法，能不能让纠正信息更有效地传开？</w:t>
      </w:r>
    </w:p>
    <w:p w14:paraId="09F2B9F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Chars="200"/>
        <w:textAlignment w:val="auto"/>
      </w:pPr>
      <w:r>
        <w:t>第三，如果某种策略改善了全班平均表现，它是否仍让一部分高需求成员或小组长期得不到帮助？</w:t>
      </w:r>
    </w:p>
    <w:p w14:paraId="6C784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t>这里的“高需求成员”只指本次任务开始时错误较多的人，不是对其长期能力的判断。“更公平”也需要具体说明：本研究主要关心高需求成员是否得到帮助、是否有小组明显被遗漏，而不是声称可以用一个分数定义所有教育公平问题。</w:t>
      </w:r>
    </w:p>
    <w:p w14:paraId="28F5948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 xml:space="preserve"> 用什么任务和网络</w:t>
      </w:r>
    </w:p>
    <w:p w14:paraId="73DF6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先设置24名成员，分成4个小组，每组6人。组内有较多联系，组间只有少数联系。每个人只能给与自己有联系的人发消息，不能直接访问全班聊天记录。这种设置使“能连接不同小组的人”有实际意义。</w:t>
      </w:r>
    </w:p>
    <w:p w14:paraId="4968C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网络由程序生成，不需要拿到真实学生的人际关系。至少准备几种连接方式，例如小组之间联系较少和较多的网络。第一轮先固定一种方式把程序跑通，正式扩展时再检查换网络后结果是否改变。</w:t>
      </w:r>
    </w:p>
    <w:p w14:paraId="5227E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任务使用虚构课程材料。例如“某实验室有三种样本，每种样本允许的处理步骤不同”。所有规则在自建资料中规定，模型不能单靠日常科学知识回答。评价题只依据这份材料判断，不把真实知识问答当作模拟学习。</w:t>
      </w:r>
    </w:p>
    <w:p w14:paraId="76FD3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成员最初拿到的信息可以不同，例如一部分人只有摘要，一部分人还有完整规则。差异必须明确记录，并在各实验组完全一致。不要在提示里写“你理解能力差”“你容易相信错误消息”，因为这不能证明角色具有真实学生的特点。</w:t>
      </w:r>
    </w:p>
    <w:p w14:paraId="0246C7F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一份纠正材料的例子</w:t>
      </w:r>
    </w:p>
    <w:p w14:paraId="06F2D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材料编号K1：“课程规则表规定，蓝色样本只能先过滤，再加热。群里出现的‘所有样本都可以先加热’不适用于蓝色样本。判断时请先看样本颜色，再查对应步骤。”</w:t>
      </w:r>
    </w:p>
    <w:p w14:paraId="1F8A0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这是为实验编写的虚构规则，不是现实实验操作建议。它同时包含错误是什么、正确规则是什么、依据在哪里。教师向3名受助者发送相同的K1材料，不能给其中一种策略更详细的解释。</w:t>
      </w:r>
    </w:p>
    <w:p w14:paraId="47B1713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五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怎样确定先帮助谁</w:t>
      </w:r>
    </w:p>
    <w:p w14:paraId="07FF2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“错误较多者”依据开始时的4道判断题确定。例如甲错3道、乙错2道、丙错2道，就按错误数从高到低选择。分数相同的成员按事先记录的随机顺序处理。为描述高需求群体，可把错误最多的前6人作为固定观察对象，并同样预先处理并列情况。</w:t>
      </w:r>
    </w:p>
    <w:p w14:paraId="6B6BF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“跨组联系者”依据网络位置选择。可计算一个常用指标，叫介数中心性：如果很多人之间的较短联系路径都经过某个人，这个人的值就较高。计算完后还应检查他是否确实连接不同小组，不能只看术语或分数。</w:t>
      </w:r>
    </w:p>
    <w:p w14:paraId="0B1EC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先记录网络、初始资料和开始测验结果，再确定两种策略的名单。不能先看哪3个人传播效果最好，再反过来把他们定义为桥梁成员。两种名单可能重合，应照实记录，不能为了制造差异而删掉这些情况。</w:t>
      </w:r>
    </w:p>
    <w:p w14:paraId="7623FBE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 xml:space="preserve"> 五个实验组分别怎样安排</w:t>
      </w:r>
    </w:p>
    <w:p w14:paraId="3F73C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前4组改变两件事：教师先帮助哪3个人，以及有没有提供转达步骤。第5组不提供教师纠正材料，用来观察没有这次帮助时，成员自己能纠正多少错误。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2268"/>
        <w:gridCol w:w="4535"/>
      </w:tblGrid>
      <w:tr w14:paraId="32B31E85">
        <w:trPr>
          <w:cantSplit/>
          <w:tblHeader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6C360F07">
            <w:pPr>
              <w:spacing w:before="60" w:after="60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171D3BD7">
            <w:pPr>
              <w:spacing w:before="60" w:after="60"/>
            </w:pPr>
            <w:r>
              <w:rPr>
                <w:b/>
                <w:sz w:val="18"/>
              </w:rPr>
              <w:t>教师先帮助谁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76C55FD0">
            <w:pPr>
              <w:spacing w:before="60" w:after="60"/>
            </w:pPr>
            <w:r>
              <w:rPr>
                <w:b/>
                <w:sz w:val="18"/>
              </w:rPr>
              <w:t>给不给转达步骤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28627958">
            <w:pPr>
              <w:spacing w:before="60" w:after="60"/>
            </w:pPr>
            <w:r>
              <w:rPr>
                <w:b/>
                <w:sz w:val="18"/>
              </w:rPr>
              <w:t>直接帮助名额</w:t>
            </w:r>
          </w:p>
        </w:tc>
      </w:tr>
      <w:tr w14:paraId="6CCE54B7">
        <w:trPr>
          <w:cantSplit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C0BCFE">
            <w:pPr>
              <w:spacing w:before="60" w:after="60"/>
            </w:pPr>
            <w:r>
              <w:rPr>
                <w:b w:val="0"/>
                <w:sz w:val="18"/>
              </w:rPr>
              <w:t>A 错误较多者优先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32DEC5">
            <w:pPr>
              <w:spacing w:before="60" w:after="60"/>
            </w:pPr>
            <w:r>
              <w:rPr>
                <w:b w:val="0"/>
                <w:sz w:val="18"/>
              </w:rPr>
              <w:t>开始测验错误最多的3人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EC51BC">
            <w:pPr>
              <w:spacing w:before="60" w:after="60"/>
            </w:pPr>
            <w:r>
              <w:rPr>
                <w:b w:val="0"/>
                <w:sz w:val="18"/>
              </w:rPr>
              <w:t>不给，自由交流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A0C7CB9">
            <w:pPr>
              <w:spacing w:before="60" w:after="60"/>
            </w:pPr>
            <w:r>
              <w:rPr>
                <w:b w:val="0"/>
                <w:sz w:val="18"/>
              </w:rPr>
              <w:t>3人</w:t>
            </w:r>
          </w:p>
        </w:tc>
      </w:tr>
      <w:tr w14:paraId="7EAB1509">
        <w:trPr>
          <w:cantSplit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C14FC04">
            <w:pPr>
              <w:spacing w:before="60" w:after="60"/>
            </w:pPr>
            <w:r>
              <w:rPr>
                <w:b w:val="0"/>
                <w:sz w:val="18"/>
              </w:rPr>
              <w:t>B 错误较多者加转达步骤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3FCCF5">
            <w:pPr>
              <w:spacing w:before="60" w:after="60"/>
            </w:pPr>
            <w:r>
              <w:rPr>
                <w:b w:val="0"/>
                <w:sz w:val="18"/>
              </w:rPr>
              <w:t>与A组相同的3人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0EE2DE">
            <w:pPr>
              <w:spacing w:before="60" w:after="60"/>
            </w:pPr>
            <w:r>
              <w:rPr>
                <w:b w:val="0"/>
                <w:sz w:val="18"/>
              </w:rPr>
              <w:t>给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4E6F32">
            <w:pPr>
              <w:spacing w:before="60" w:after="60"/>
            </w:pPr>
            <w:r>
              <w:rPr>
                <w:b w:val="0"/>
                <w:sz w:val="18"/>
              </w:rPr>
              <w:t>3人</w:t>
            </w:r>
          </w:p>
        </w:tc>
      </w:tr>
      <w:tr w14:paraId="73FDDD2A">
        <w:trPr>
          <w:cantSplit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E41B04">
            <w:pPr>
              <w:spacing w:before="60" w:after="60"/>
            </w:pPr>
            <w:r>
              <w:rPr>
                <w:b w:val="0"/>
                <w:sz w:val="18"/>
              </w:rPr>
              <w:t>C 跨组联系者优先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3D149B">
            <w:pPr>
              <w:spacing w:before="60" w:after="60"/>
            </w:pPr>
            <w:r>
              <w:rPr>
                <w:b w:val="0"/>
                <w:sz w:val="18"/>
              </w:rPr>
              <w:t>按预定网络规则选出的3人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A737E43">
            <w:pPr>
              <w:spacing w:before="60" w:after="60"/>
            </w:pPr>
            <w:r>
              <w:rPr>
                <w:b w:val="0"/>
                <w:sz w:val="18"/>
              </w:rPr>
              <w:t>不给，自由交流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93AEF92">
            <w:pPr>
              <w:spacing w:before="60" w:after="60"/>
            </w:pPr>
            <w:r>
              <w:rPr>
                <w:b w:val="0"/>
                <w:sz w:val="18"/>
              </w:rPr>
              <w:t>3人</w:t>
            </w:r>
          </w:p>
        </w:tc>
      </w:tr>
      <w:tr w14:paraId="3E6752A4">
        <w:trPr>
          <w:cantSplit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5817320">
            <w:pPr>
              <w:spacing w:before="60" w:after="60"/>
            </w:pPr>
            <w:r>
              <w:rPr>
                <w:b w:val="0"/>
                <w:sz w:val="18"/>
              </w:rPr>
              <w:t>D 跨组联系者加转达步骤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C37D787">
            <w:pPr>
              <w:spacing w:before="60" w:after="60"/>
            </w:pPr>
            <w:r>
              <w:rPr>
                <w:b w:val="0"/>
                <w:sz w:val="18"/>
              </w:rPr>
              <w:t>与C组相同的3人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9196574">
            <w:pPr>
              <w:spacing w:before="60" w:after="60"/>
            </w:pPr>
            <w:r>
              <w:rPr>
                <w:b w:val="0"/>
                <w:sz w:val="18"/>
              </w:rPr>
              <w:t>给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FE809E">
            <w:pPr>
              <w:spacing w:before="60" w:after="60"/>
            </w:pPr>
            <w:r>
              <w:rPr>
                <w:b w:val="0"/>
                <w:sz w:val="18"/>
              </w:rPr>
              <w:t>3人</w:t>
            </w:r>
          </w:p>
        </w:tc>
      </w:tr>
      <w:tr w14:paraId="22ADE7A8">
        <w:trPr>
          <w:cantSplit/>
        </w:trPr>
        <w:tc>
          <w:tcPr>
            <w:tcW w:w="11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1B606C">
            <w:pPr>
              <w:spacing w:before="60" w:after="60"/>
            </w:pPr>
            <w:r>
              <w:rPr>
                <w:b w:val="0"/>
                <w:sz w:val="18"/>
              </w:rPr>
              <w:t>E 无教师纠正组</w:t>
            </w:r>
          </w:p>
        </w:tc>
        <w:tc>
          <w:tcPr>
            <w:tcW w:w="17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F8A1F5">
            <w:pPr>
              <w:spacing w:before="60" w:after="60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226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A5E967">
            <w:pPr>
              <w:spacing w:before="60" w:after="60"/>
            </w:pPr>
            <w:r>
              <w:rPr>
                <w:b w:val="0"/>
                <w:sz w:val="18"/>
              </w:rPr>
              <w:t>无</w:t>
            </w:r>
          </w:p>
        </w:tc>
        <w:tc>
          <w:tcPr>
            <w:tcW w:w="45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924B495">
            <w:pPr>
              <w:spacing w:before="60" w:after="60"/>
            </w:pPr>
            <w:r>
              <w:rPr>
                <w:b w:val="0"/>
                <w:sz w:val="18"/>
              </w:rPr>
              <w:t>0人</w:t>
            </w:r>
          </w:p>
        </w:tc>
      </w:tr>
    </w:tbl>
    <w:p w14:paraId="625C5D74"/>
    <w:p w14:paraId="6CAAD879">
      <w:pPr>
        <w:pStyle w:val="4"/>
      </w:pPr>
      <w:r>
        <w:t>A组 先帮助错误较多的人</w:t>
      </w:r>
    </w:p>
    <w:p w14:paraId="3B872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教师把K1纠正材料发送给选出的3人，并写：“这是本次任务的补充说明，请阅读。后续可以按照原有规则与同伴交流。”受助者是否转达、转达给谁，由它自己决定。</w:t>
      </w:r>
    </w:p>
    <w:p w14:paraId="17827609">
      <w:pPr>
        <w:pStyle w:val="4"/>
      </w:pPr>
      <w:r>
        <w:t>B组 先帮助错误较多的人并给转达步骤</w:t>
      </w:r>
    </w:p>
    <w:p w14:paraId="5CF1B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帮助名单和纠正材料与A组完全相同，额外写：“如果你决定转达，请说明原来的说法错在哪里、资料支持什么，并问对方还有没有不清楚的地方。”研究者不指定新的接收对象，也不强迫对方接受答案。</w:t>
      </w:r>
    </w:p>
    <w:p w14:paraId="4BA45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rPr>
          <w:rFonts w:ascii="Arial" w:hAnsi="Arial"/>
        </w:rPr>
        <w:t>这里把步骤设计成“决定转达后怎样讲”，不强制所有人必须转发。这样主要比较转达说明方式，而不把一组强制发消息、另一组允许不发消息混在一起。若以后研究强制转达，应单独增加实验条件。</w:t>
      </w:r>
    </w:p>
    <w:p w14:paraId="3101107B">
      <w:pPr>
        <w:pStyle w:val="4"/>
      </w:pPr>
      <w:r>
        <w:t>C组 先帮助连接不同小组的人</w:t>
      </w:r>
    </w:p>
    <w:p w14:paraId="10C76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教师发送与A组相同的材料和普通说明，只把接收者换成3名跨组联系者。交流轮数、消息长度和材料内容都不增加。C与A的主要差别就是名额给了谁。</w:t>
      </w:r>
    </w:p>
    <w:p w14:paraId="7B305BE0">
      <w:pPr>
        <w:pStyle w:val="4"/>
      </w:pPr>
      <w:r>
        <w:t>D组 同时使用跨组选人和转达步骤</w:t>
      </w:r>
    </w:p>
    <w:p w14:paraId="1647C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帮助名单与C组相同，材料与所有受助组相同，转达步骤与B组相同。它是否最好，要由结果判断。也可能桥梁成员自己尚未理解，就把错误解释传得更广。</w:t>
      </w:r>
    </w:p>
    <w:p w14:paraId="7D8EB953">
      <w:pPr>
        <w:pStyle w:val="4"/>
      </w:pPr>
      <w:r>
        <w:t>E组 不加入教师纠正材料</w:t>
      </w:r>
    </w:p>
    <w:p w14:paraId="1B4FB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</w:pPr>
      <w:r>
        <w:rPr>
          <w:rFonts w:ascii="Arial" w:hAnsi="Arial"/>
        </w:rPr>
        <w:t>成员照常完成相同任务和同伴交流，但没有人收到K1。它帮助我们估计自然讨论本身能带来多少变化。E组的教师投入是0，所以不能称它与A至D组具有相同的教师帮助预算。</w:t>
      </w:r>
    </w:p>
    <w:p w14:paraId="530B0FE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七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一次实验从开始到结束怎样走</w:t>
      </w:r>
    </w:p>
    <w:p w14:paraId="695CD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第一步，建立24人的联系网络，发放各自的初始材料，完成4道开始测验。保存这一时点的资料、回答和网络，形成一份共同的起点。</w:t>
      </w:r>
    </w:p>
    <w:p w14:paraId="3F8C1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第二步，从同一个起点分别建立A至E五个运行分支。按预先规定的规则选人、发放纠正材料和说明。之后各分支单独互动，不能共享消息或记忆。下一次独立重复则重新生成网络或任务安排。</w:t>
      </w:r>
    </w:p>
    <w:p w14:paraId="0FE49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第三步，进行4轮交流。每轮每人最多给一名有联系的同伴发送一条消息，可以不发送，也可以用消息提出问题。每条消息使用相同长度上限，例如150个汉字；限制由程序执行。所有组都遵守同样规则。</w:t>
      </w:r>
    </w:p>
    <w:p w14:paraId="11B8E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四步，每轮消息先统一收集，再统一交付，下一轮才允许回应。这样，某个成员不会因为程序恰好先执行它，就多完成几次即时往返。需要更长对话时可以在下一次实验版本中增加轮数，但不能只给某个组增加。</w:t>
      </w:r>
    </w:p>
    <w:p w14:paraId="24FC8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五步，每轮行动输出中记录一项私下判断，例如目前认为蓝色样本应先过滤还是先加热。这项记录不发给同伴，也不提供对错反馈，只用于观察判断何时变化。最后再回答4道平行题，题目测试相同规则但表述不同。</w:t>
      </w:r>
    </w:p>
    <w:p w14:paraId="06B0B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开始测验与结束测验要准备多个难度接近的版本，并在不同运行中轮换。否则，结束时看似进步，可能只是题目变简单。最终题目最好同时要求给出资料依据，减少仅凭猜选项得分的情况。</w:t>
      </w:r>
    </w:p>
    <w:p w14:paraId="6841895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八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怎样保证不同组可以公平比较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1DEF72F">
        <w:trPr>
          <w:cantSplit/>
          <w:tblHeader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3C51FD81">
            <w:pPr>
              <w:spacing w:before="60" w:after="60"/>
            </w:pPr>
            <w:r>
              <w:rPr>
                <w:b/>
                <w:sz w:val="18"/>
              </w:rPr>
              <w:t>必须一样的东西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</w:tcPr>
          <w:p w14:paraId="0A86F458">
            <w:pPr>
              <w:spacing w:before="60" w:after="60"/>
            </w:pPr>
            <w:r>
              <w:rPr>
                <w:b/>
                <w:sz w:val="18"/>
              </w:rPr>
              <w:t>具体做法</w:t>
            </w:r>
          </w:p>
        </w:tc>
      </w:tr>
      <w:tr w14:paraId="45E12EA3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534F58">
            <w:pPr>
              <w:spacing w:before="60" w:after="60"/>
            </w:pPr>
            <w:r>
              <w:rPr>
                <w:b w:val="0"/>
                <w:sz w:val="18"/>
              </w:rPr>
              <w:t>初始情况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9A922F">
            <w:pPr>
              <w:spacing w:before="60" w:after="60"/>
            </w:pPr>
            <w:r>
              <w:rPr>
                <w:b w:val="0"/>
                <w:sz w:val="18"/>
              </w:rPr>
              <w:t>同一套任务和网络分别进入五个条件</w:t>
            </w:r>
          </w:p>
        </w:tc>
      </w:tr>
      <w:tr w14:paraId="34AE0C6C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86313F">
            <w:pPr>
              <w:spacing w:before="60" w:after="60"/>
            </w:pPr>
            <w:r>
              <w:rPr>
                <w:b w:val="0"/>
                <w:sz w:val="18"/>
              </w:rPr>
              <w:t>教师材料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C02E9B">
            <w:pPr>
              <w:spacing w:before="60" w:after="60"/>
            </w:pPr>
            <w:r>
              <w:rPr>
                <w:b w:val="0"/>
                <w:sz w:val="18"/>
              </w:rPr>
              <w:t>A至D收到同一纠正卡，不增删事实</w:t>
            </w:r>
          </w:p>
        </w:tc>
      </w:tr>
      <w:tr w14:paraId="1B36C58A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3E30642">
            <w:pPr>
              <w:spacing w:before="60" w:after="60"/>
            </w:pPr>
            <w:r>
              <w:rPr>
                <w:b w:val="0"/>
                <w:sz w:val="18"/>
              </w:rPr>
              <w:t>教师名额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421CD22">
            <w:pPr>
              <w:spacing w:before="60" w:after="60"/>
            </w:pPr>
            <w:r>
              <w:rPr>
                <w:b w:val="0"/>
                <w:sz w:val="18"/>
              </w:rPr>
              <w:t>A至D均为3人，选人规则提前固定</w:t>
            </w:r>
          </w:p>
        </w:tc>
      </w:tr>
      <w:tr w14:paraId="54325CA0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DC0EEB">
            <w:pPr>
              <w:spacing w:before="60" w:after="60"/>
            </w:pPr>
            <w:r>
              <w:rPr>
                <w:b w:val="0"/>
                <w:sz w:val="18"/>
              </w:rPr>
              <w:t>交流机会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AF93AB">
            <w:pPr>
              <w:spacing w:before="60" w:after="60"/>
            </w:pPr>
            <w:r>
              <w:rPr>
                <w:b w:val="0"/>
                <w:sz w:val="18"/>
              </w:rPr>
              <w:t>每人每轮最多1条消息，共4轮</w:t>
            </w:r>
          </w:p>
        </w:tc>
      </w:tr>
      <w:tr w14:paraId="79CD744E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F24A468">
            <w:pPr>
              <w:spacing w:before="60" w:after="60"/>
            </w:pPr>
            <w:r>
              <w:rPr>
                <w:b w:val="0"/>
                <w:sz w:val="18"/>
              </w:rPr>
              <w:t>模型与资料权限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FC2EE6">
            <w:pPr>
              <w:spacing w:before="60" w:after="60"/>
            </w:pPr>
            <w:r>
              <w:rPr>
                <w:b w:val="0"/>
                <w:sz w:val="18"/>
              </w:rPr>
              <w:t>使用同一模型配置，不能跨网络偷看消息</w:t>
            </w:r>
          </w:p>
        </w:tc>
      </w:tr>
      <w:tr w14:paraId="290E3B4C">
        <w:trPr>
          <w:cantSplit/>
        </w:trPr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AC3FF4">
            <w:pPr>
              <w:spacing w:before="60" w:after="60"/>
            </w:pPr>
            <w:r>
              <w:rPr>
                <w:b w:val="0"/>
                <w:sz w:val="18"/>
              </w:rPr>
              <w:t>评价标准</w:t>
            </w:r>
          </w:p>
        </w:tc>
        <w:tc>
          <w:tcPr>
            <w:tcW w:w="481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8F656A6">
            <w:pPr>
              <w:spacing w:before="60" w:after="60"/>
            </w:pPr>
            <w:r>
              <w:rPr>
                <w:b w:val="0"/>
                <w:sz w:val="18"/>
              </w:rPr>
              <w:t>使用同一答案表和相同评分规则</w:t>
            </w:r>
          </w:p>
        </w:tc>
      </w:tr>
    </w:tbl>
    <w:p w14:paraId="4B82D984"/>
    <w:p w14:paraId="359DB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转达步骤会增加少量文字。没有步骤的组可收到长度接近的普通任务安排，以减少单纯“多读了文字”的影响。不得额外加入帮助理解答案的线索。所有组允许的交流对象都由同一网络决定。</w:t>
      </w:r>
    </w:p>
    <w:p w14:paraId="7A5CB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技术失败按统一规则处理并保留失败记录。不能只删除某个策略不理想的运行，也不能一边查看结果，一边修改选人算法。</w:t>
      </w:r>
    </w:p>
    <w:p w14:paraId="665AF90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九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需要记录哪些结果</w:t>
      </w:r>
    </w:p>
    <w:p w14:paraId="55447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首要指标是最终错误率。例如24人各回答4题，共96个判断，其中有24个错误，错误率就是24÷96。可以同时报告“至少错一题的人数”，但不要把这两个分母不同的指标混称为同一个错误率。</w:t>
      </w:r>
    </w:p>
    <w:p w14:paraId="267E4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二个指标是纠正信息覆盖率。最容易客观记录的是K1材料编号到达了哪些人。只有编号或链接到达，还不代表对方读懂了；因此另记录消息有没有准确解释关键规则。人工抽查转述内容，区分完整解释、只提到资料和传错内容。</w:t>
      </w:r>
    </w:p>
    <w:p w14:paraId="4737A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第三个指标是高需求成员的改善情况。使用开始时已经确定的前6名错误较多成员，检查他们最终的错误率和收到帮助的情况。不能在实验结束后重新挑一批表现差的人来定义高需求。</w:t>
      </w:r>
    </w:p>
    <w:p w14:paraId="59CB9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还要记录四个小组中覆盖最少的小组、一直没有收到纠正的成员人数，以及第一次正确判断出现在哪一轮。一直没有纠正的人应记为“在观察期内未纠正”，不能删掉后只计算那些成功纠正者的平均速度。</w:t>
      </w:r>
    </w:p>
    <w:p w14:paraId="2E276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如果想看一个帮助名额带来多少收益，可先算某策略比同起点E组多了多少个正确判断，再除以3。这样得到的是“每个直接帮助名额对应的额外正确判断数”，不是预测学生成绩增长；它可能为负数。</w:t>
      </w:r>
    </w:p>
    <w:p w14:paraId="760D578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十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怎样分析才不会把结果说大</w:t>
      </w:r>
    </w:p>
    <w:p w14:paraId="7EE2C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先分别比较A与C、B与D，看选人办法的差别；比较A与B、C与D，看转达步骤的差别；再检查两种办法一起用时，是否出现不同于单独使用的情况。与E组的比较另列，解释有没有超过自然讨论的改善。</w:t>
      </w:r>
    </w:p>
    <w:p w14:paraId="75BC9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每一次完整班级运行作为一个统计单位。24人相互交流，消息和答案彼此影响，所以不能把它们直接当成24次独立实验。最简单的分析是对同一套起点计算条件差值，再在多套独立起点之间汇总并给出不确定范围。</w:t>
      </w:r>
    </w:p>
    <w:p w14:paraId="7DAAD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先做5组各3次，共15次微型试验。检查记录完整后，可以考虑每组15至20次探索性运行。是否扩大仍取决于结果波动和目标精度，不是达到某个次数就自动可靠。</w:t>
      </w:r>
    </w:p>
    <w:p w14:paraId="12955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另外写一个简单传播程序：成员按固定规则转发资料，在相同网络和预算下运行。Akata等将LLM与简单策略比较，为这种对照提供了方法参考。[4] 如果简单程序已经解释了全部差异，就应承认本研究主要发现来自网络或规则，而不是LLM独有的能力。</w:t>
      </w:r>
    </w:p>
    <w:p w14:paraId="0E6C3CA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十一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在平台上具体需要做什么</w:t>
      </w:r>
    </w:p>
    <w:p w14:paraId="655F5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AgentSociety可以用来组织多名角色、接入自定义环境和记录互动，但不会自动给出适合本研究的教师策略和评分方法。[5] 需要自行实现任务材料、3个帮助名额、两套选人规则、转达说明、消息权限和结果统计。</w:t>
      </w:r>
    </w:p>
    <w:p w14:paraId="224A7F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教师第一版用脚本发放人工核验的纠正卡即可，不必再增加一个可能生成错误解释的教师LLM。这样更容易判断效果是否来自帮助对象和转达安排。参与者再由LLM决定如何处理收到的信息。</w:t>
      </w:r>
    </w:p>
    <w:p w14:paraId="0E092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所有原始材料和网络均可自行生成。公开生成方法和随机安排，便于别人重新运行。真实班级网络、学生群聊和学习成绩不属于默认已获得的数据；后续使用前需另行落实权限。</w:t>
      </w:r>
    </w:p>
    <w:p w14:paraId="168DDD6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十二 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大概需要多少时间和调用</w:t>
      </w:r>
    </w:p>
    <w:p w14:paraId="1B2FF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小试交流部分为5组×3次×24人×4轮，共1440个成员行动。若每次行动需要1至2次模型调用，约为1440至2880次。每次运行再给24人各做一次开始测验和一次结束测验，按每份测验一次调用估计增加720次，总计约2160至3600次，另计重试和平台额外开销。</w:t>
      </w:r>
    </w:p>
    <w:p w14:paraId="42DCC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这是一种保守预算：如果同起点各组复用开始测验结果，可以少花一些。模型费用仍按实际输入和输出tokens及当日价格计算。不要先跑大规模实验再看费用，先跑一次完整流程检查账单。</w:t>
      </w:r>
    </w:p>
    <w:p w14:paraId="17B0C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第1周完成任务和正确答案，确定什么叫需求较高；第2周建立小网络并检查消息只能沿允许的联系传递；第3周完成15次小试；第4至5周做主实验；第6周更换网络密度或模型做小规模检查；第7周整理结果。按每周10至15小时估计，初学编程需延长。</w:t>
      </w:r>
    </w:p>
    <w:p w14:paraId="3E7E66D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十三 </w:t>
      </w:r>
      <w:r>
        <w:rPr>
          <w:rFonts w:hint="eastAsia" w:ascii="宋体" w:hAnsi="宋体" w:eastAsia="宋体" w:cs="宋体"/>
          <w:lang w:eastAsia="zh-CN"/>
        </w:rPr>
        <w:t>、</w:t>
      </w:r>
      <w:bookmarkStart w:id="0" w:name="_GoBack"/>
      <w:bookmarkEnd w:id="0"/>
      <w:r>
        <w:rPr>
          <w:rFonts w:hint="eastAsia" w:ascii="宋体" w:hAnsi="宋体" w:eastAsia="宋体" w:cs="宋体"/>
        </w:rPr>
        <w:t>看到不同结果时怎样处理</w:t>
      </w:r>
    </w:p>
    <w:p w14:paraId="4C6F0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如果桥梁优先使全班错误率下降更多，但高需求成员改善更少，就报告这一取舍，不能只选总体平均指标宣布它最好。如果需求优先整体改善稍小，却明显减少高需求成员遗漏，也有清楚的研究价值。</w:t>
      </w:r>
    </w:p>
    <w:p w14:paraId="279E86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如果提供转达步骤没有作用，要检查材料是否已经足够简单、成员是否根本没有转达，以及4轮是否足以发生差异。可以据此提出下一项实验，但不能边改条件边把所有结果混成一次验证。</w:t>
      </w:r>
    </w:p>
    <w:p w14:paraId="5083C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如果模型在没有资料时就答对所有虚构规则，或能够绕过网络读取全班信息，应停止扩大，先修材料和权限。没有效果和实验不可信是两回事：前者可以报告，后者需要先解决。</w:t>
      </w:r>
    </w:p>
    <w:p w14:paraId="24B7C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t>本研究能得到的是特定模型、任务和网络下的帮助分配结果。要建议真实教师照此分配时间，还需要真实课堂或小规模真实参与者验证，并单独处理伦理、同意与数据保护问题。</w:t>
      </w:r>
    </w:p>
    <w:p w14:paraId="5950236B">
      <w:r>
        <w:br w:type="page"/>
      </w:r>
    </w:p>
    <w:p w14:paraId="4696D203">
      <w:pPr>
        <w:pStyle w:val="3"/>
      </w:pPr>
      <w:r>
        <w:t>参考文献</w:t>
      </w:r>
    </w:p>
    <w:p w14:paraId="4757112C">
      <w:r>
        <w:t>[1] CENTOLA D. The spread of behavior in an online social network experiment[J]. Science, 2010, 329(5996): 1194–1197. https://doi.org/10.1126/science.1185231</w:t>
      </w:r>
    </w:p>
    <w:p w14:paraId="6D6585A4">
      <w:r>
        <w:t>[2] CENTOLA D, BECKER J, BRACKBILL D, et al. Experimental evidence for tipping points in social convention[J]. Science, 2018, 360(6393): 1116–1119. https://doi.org/10.1126/science.aas8827</w:t>
      </w:r>
    </w:p>
    <w:p w14:paraId="3FA1290C">
      <w:r>
        <w:t>[3] PIAO J, YAN Y, ZHANG J, et al. AgentSociety: Large-Scale Simulation of LLM-Driven Generative Agents Advances Understanding of Human Behaviors and Society[EB/OL]. arXiv:2502.08691, 2025[2026-09-22]. https://arxiv.org/abs/2502.08691</w:t>
      </w:r>
    </w:p>
    <w:p w14:paraId="26B0F200">
      <w:r>
        <w:t>[4] AKATA E, SCHULZ L, CODA-FORNO J, et al. Playing repeated games with large language models[J]. Nature Human Behaviour, 2025, 9: 1380–1390. https://doi.org/10.1038/s41562-025-02172-y</w:t>
      </w:r>
    </w:p>
    <w:p w14:paraId="32B0B48A">
      <w:r>
        <w:t>[5] FIBLAB. AgentSociety 2 Documentation: Environment Modules; Storage and Result Access[EB/OL]. [2026-09-22]. https://agentsociety2.readthedocs.io/en/latest/env_modules.html ; https://agentsociety2.readthedocs.io/en/latest/storage.html</w:t>
      </w:r>
    </w:p>
    <w:p w14:paraId="416D247F">
      <w:r>
        <w:t>文献使用说明：[1]和[2]用于说明网络互动和群体变化值得研究，不代表它们验证了教育纠错策略。[3]仅提供平台内信息传播案例的参照；本文引用便于查阅的预印本，相关期刊页面DOI为10.26599/IF.2026.9710004，两者不重复计数。[4]用于借鉴简单策略对照。[5]用于说明平台接口。</w:t>
      </w:r>
    </w:p>
    <w:sectPr>
      <w:footerReference r:id="rId5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49F1E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6D297"/>
    <w:multiLevelType w:val="singleLevel"/>
    <w:tmpl w:val="FDF6D297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7F05BB"/>
    <w:rsid w:val="7BDFCE26"/>
    <w:rsid w:val="7FEFDBC8"/>
    <w:rsid w:val="DD77427F"/>
    <w:rsid w:val="DFC782C3"/>
    <w:rsid w:val="FDFEEEEF"/>
    <w:rsid w:val="FEFD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Arial" w:hAnsi="Arial" w:eastAsia="Songti SC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00" w:line="269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69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400</TotalTime>
  <ScaleCrop>false</ScaleCrop>
  <LinksUpToDate>false</LinksUpToDate>
  <CharactersWithSpaces>0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wener</cp:lastModifiedBy>
  <dcterms:modified xsi:type="dcterms:W3CDTF">2026-09-23T20:55:51Z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51A4D49300705E180C46B36A91E30204_42</vt:lpwstr>
  </property>
</Properties>
</file>