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1153E">
      <w:pPr>
        <w:pStyle w:val="3"/>
        <w:spacing w:before="160" w:after="80"/>
      </w:pPr>
      <w:r>
        <w:rPr>
          <w:rFonts w:ascii="Times New Roman" w:hAnsi="Times New Roman" w:eastAsia="宋体"/>
          <w:b/>
          <w:color w:val="000000"/>
          <w:sz w:val="28"/>
        </w:rPr>
        <w:t>一、当前进展</w:t>
      </w:r>
    </w:p>
    <w:p w14:paraId="428C0C2E">
      <w:pPr>
        <w:rPr>
          <w:rFonts w:ascii="Times New Roman" w:hAnsi="Times New Roman" w:eastAsia="宋体"/>
          <w:b w:val="0"/>
          <w:color w:val="000000"/>
          <w:sz w:val="22"/>
        </w:rPr>
      </w:pPr>
      <w:r>
        <w:rPr>
          <w:rFonts w:ascii="Times New Roman" w:hAnsi="Times New Roman" w:eastAsia="宋体"/>
          <w:b w:val="0"/>
          <w:color w:val="000000"/>
          <w:sz w:val="22"/>
        </w:rPr>
        <w:t>前期我们已经在原有 2CKG4ER 可解释习题推荐代码上完成了三类改造：后处理重排序、模型内正则和预处理训练边重构。</w:t>
      </w:r>
      <w:r>
        <w:t>不修改主模型训练结构</w:t>
      </w:r>
      <w:r>
        <w:rPr>
          <w:rFonts w:hint="eastAsia"/>
        </w:rPr>
        <w:t>，</w:t>
      </w:r>
      <w:r>
        <w:t>将公平性问题聚焦为教育资源侧公平，即习题曝光是否过度集中、知识点练习机会是否过度集中、长尾习题和长尾知识点是否长期缺少推荐机会。</w:t>
      </w:r>
    </w:p>
    <w:p w14:paraId="100FE9DA">
      <w:pPr>
        <w:spacing w:after="120" w:line="276" w:lineRule="auto"/>
        <w:rPr>
          <w:rFonts w:hint="default" w:ascii="Times New Roman" w:hAnsi="Times New Roman" w:eastAsia="宋体"/>
          <w:b w:val="0"/>
          <w:color w:val="000000"/>
          <w:sz w:val="22"/>
          <w:lang w:val="en-US" w:eastAsia="zh-CN"/>
        </w:rPr>
      </w:pPr>
      <w:r>
        <w:rPr>
          <w:rFonts w:hint="eastAsia"/>
          <w:b w:val="0"/>
          <w:color w:val="000000"/>
          <w:sz w:val="22"/>
          <w:lang w:val="en-US" w:eastAsia="zh-CN"/>
        </w:rPr>
        <w:t>定义了一些指标：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3460"/>
        <w:gridCol w:w="2573"/>
      </w:tblGrid>
      <w:tr w14:paraId="071B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AC7E521">
            <w:pPr>
              <w:spacing w:after="0" w:line="240" w:lineRule="auto"/>
              <w:rPr>
                <w:rFonts w:hint="eastAsia"/>
              </w:rPr>
            </w:pPr>
            <w:r>
              <w:rPr>
                <w:b/>
                <w:bCs/>
              </w:rPr>
              <w:t>指标</w:t>
            </w:r>
          </w:p>
        </w:tc>
        <w:tc>
          <w:tcPr>
            <w:tcW w:w="3460" w:type="dxa"/>
            <w:vAlign w:val="center"/>
          </w:tcPr>
          <w:p w14:paraId="01ADEBE6">
            <w:pPr>
              <w:spacing w:after="0" w:line="240" w:lineRule="auto"/>
              <w:rPr>
                <w:rFonts w:hint="eastAsia"/>
              </w:rPr>
            </w:pPr>
            <w:r>
              <w:rPr>
                <w:b/>
                <w:bCs/>
              </w:rPr>
              <w:t>含义</w:t>
            </w:r>
          </w:p>
        </w:tc>
        <w:tc>
          <w:tcPr>
            <w:tcW w:w="2573" w:type="dxa"/>
            <w:vAlign w:val="center"/>
          </w:tcPr>
          <w:p w14:paraId="083F7FEB">
            <w:pPr>
              <w:spacing w:after="0" w:line="240" w:lineRule="auto"/>
              <w:rPr>
                <w:rFonts w:hint="eastAsia"/>
              </w:rPr>
            </w:pPr>
            <w:r>
              <w:rPr>
                <w:b/>
                <w:bCs/>
              </w:rPr>
              <w:t>用途 / 解释</w:t>
            </w:r>
          </w:p>
        </w:tc>
      </w:tr>
      <w:tr w14:paraId="792A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357614E9">
            <w:pPr>
              <w:spacing w:after="0" w:line="240" w:lineRule="auto"/>
              <w:rPr>
                <w:rFonts w:hint="eastAsia"/>
              </w:rPr>
            </w:pPr>
            <w:r>
              <w:t>ItemExposureGini@K</w:t>
            </w:r>
          </w:p>
        </w:tc>
        <w:tc>
          <w:tcPr>
            <w:tcW w:w="3460" w:type="dxa"/>
            <w:vAlign w:val="center"/>
          </w:tcPr>
          <w:p w14:paraId="0E0CFEB3">
            <w:pPr>
              <w:spacing w:after="0" w:line="240" w:lineRule="auto"/>
              <w:rPr>
                <w:rFonts w:hint="eastAsia"/>
              </w:rPr>
            </w:pPr>
            <w:r>
              <w:t>习题曝光分布的 Gini 系数</w:t>
            </w:r>
          </w:p>
        </w:tc>
        <w:tc>
          <w:tcPr>
            <w:tcW w:w="2573" w:type="dxa"/>
            <w:vAlign w:val="center"/>
          </w:tcPr>
          <w:p w14:paraId="2393D3A0">
            <w:pPr>
              <w:spacing w:after="0" w:line="240" w:lineRule="auto"/>
              <w:rPr>
                <w:rFonts w:hint="eastAsia"/>
              </w:rPr>
            </w:pPr>
            <w:r>
              <w:t>衡量不同习题之间曝光分配的均衡程度；数值越高，说明曝光越集中于少数习题</w:t>
            </w:r>
          </w:p>
        </w:tc>
      </w:tr>
      <w:tr w14:paraId="75FFD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683BA6C5">
            <w:pPr>
              <w:spacing w:after="0" w:line="240" w:lineRule="auto"/>
              <w:rPr>
                <w:rFonts w:hint="eastAsia"/>
              </w:rPr>
            </w:pPr>
            <w:r>
              <w:t>KCExposureGini@K</w:t>
            </w:r>
          </w:p>
        </w:tc>
        <w:tc>
          <w:tcPr>
            <w:tcW w:w="3460" w:type="dxa"/>
            <w:vAlign w:val="center"/>
          </w:tcPr>
          <w:p w14:paraId="5379C562">
            <w:pPr>
              <w:spacing w:after="0" w:line="240" w:lineRule="auto"/>
              <w:rPr>
                <w:rFonts w:hint="eastAsia"/>
              </w:rPr>
            </w:pPr>
            <w:r>
              <w:t>知识点曝光分布的 Gini 系数</w:t>
            </w:r>
          </w:p>
        </w:tc>
        <w:tc>
          <w:tcPr>
            <w:tcW w:w="2573" w:type="dxa"/>
            <w:vAlign w:val="center"/>
          </w:tcPr>
          <w:p w14:paraId="01961713">
            <w:pPr>
              <w:spacing w:after="0" w:line="240" w:lineRule="auto"/>
              <w:rPr>
                <w:rFonts w:hint="eastAsia"/>
              </w:rPr>
            </w:pPr>
            <w:r>
              <w:t>衡量不同知识点之间曝光分配的均衡程度；数值越高，说明曝光越集中于少数知识点</w:t>
            </w:r>
          </w:p>
        </w:tc>
      </w:tr>
      <w:tr w14:paraId="56F0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73231F84">
            <w:pPr>
              <w:spacing w:after="0" w:line="240" w:lineRule="auto"/>
              <w:rPr>
                <w:rFonts w:hint="eastAsia"/>
              </w:rPr>
            </w:pPr>
            <w:r>
              <w:t>ItemCoverage@K</w:t>
            </w:r>
          </w:p>
        </w:tc>
        <w:tc>
          <w:tcPr>
            <w:tcW w:w="3460" w:type="dxa"/>
            <w:vAlign w:val="center"/>
          </w:tcPr>
          <w:p w14:paraId="257CFA39">
            <w:pPr>
              <w:spacing w:after="0" w:line="240" w:lineRule="auto"/>
              <w:rPr>
                <w:rFonts w:hint="eastAsia"/>
              </w:rPr>
            </w:pPr>
            <w:r>
              <w:t>被推荐过的习题占全部候选习题的比例</w:t>
            </w:r>
          </w:p>
        </w:tc>
        <w:tc>
          <w:tcPr>
            <w:tcW w:w="2573" w:type="dxa"/>
            <w:vAlign w:val="center"/>
          </w:tcPr>
          <w:p w14:paraId="46982C81">
            <w:pPr>
              <w:spacing w:after="0" w:line="240" w:lineRule="auto"/>
              <w:rPr>
                <w:rFonts w:hint="eastAsia"/>
              </w:rPr>
            </w:pPr>
            <w:r>
              <w:t>衡量推荐系统对习题资源的覆盖广度；数值越高，说明覆盖的习题越丰富</w:t>
            </w:r>
          </w:p>
        </w:tc>
      </w:tr>
      <w:tr w14:paraId="39F6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59354F72">
            <w:pPr>
              <w:spacing w:after="0" w:line="240" w:lineRule="auto"/>
              <w:rPr>
                <w:rFonts w:hint="eastAsia"/>
              </w:rPr>
            </w:pPr>
            <w:r>
              <w:t>KCCoverage@K</w:t>
            </w:r>
          </w:p>
        </w:tc>
        <w:tc>
          <w:tcPr>
            <w:tcW w:w="3460" w:type="dxa"/>
            <w:vAlign w:val="center"/>
          </w:tcPr>
          <w:p w14:paraId="6D35B129">
            <w:pPr>
              <w:spacing w:after="0" w:line="240" w:lineRule="auto"/>
              <w:rPr>
                <w:rFonts w:hint="eastAsia"/>
              </w:rPr>
            </w:pPr>
            <w:r>
              <w:t>被推荐过的知识点占全部知识点的比例</w:t>
            </w:r>
          </w:p>
        </w:tc>
        <w:tc>
          <w:tcPr>
            <w:tcW w:w="2573" w:type="dxa"/>
            <w:vAlign w:val="center"/>
          </w:tcPr>
          <w:p w14:paraId="3FDA6F8D">
            <w:pPr>
              <w:spacing w:after="0" w:line="240" w:lineRule="auto"/>
              <w:rPr>
                <w:rFonts w:hint="eastAsia"/>
              </w:rPr>
            </w:pPr>
            <w:r>
              <w:t>衡量推荐系统对知识点的覆盖广度；数值越高，说明覆盖的知识点越丰富</w:t>
            </w:r>
          </w:p>
        </w:tc>
      </w:tr>
      <w:tr w14:paraId="356B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36E46717">
            <w:pPr>
              <w:spacing w:after="0" w:line="240" w:lineRule="auto"/>
              <w:rPr>
                <w:rFonts w:hint="eastAsia"/>
              </w:rPr>
            </w:pPr>
            <w:r>
              <w:t>LongTailItemExposureShare@K</w:t>
            </w:r>
          </w:p>
        </w:tc>
        <w:tc>
          <w:tcPr>
            <w:tcW w:w="3460" w:type="dxa"/>
            <w:vAlign w:val="center"/>
          </w:tcPr>
          <w:p w14:paraId="7353C115">
            <w:pPr>
              <w:spacing w:after="0" w:line="240" w:lineRule="auto"/>
              <w:rPr>
                <w:rFonts w:hint="eastAsia"/>
              </w:rPr>
            </w:pPr>
            <w:r>
              <w:t>长尾习题获得的曝光占总曝光的比例</w:t>
            </w:r>
          </w:p>
        </w:tc>
        <w:tc>
          <w:tcPr>
            <w:tcW w:w="2573" w:type="dxa"/>
            <w:vAlign w:val="center"/>
          </w:tcPr>
          <w:p w14:paraId="6F2339C3">
            <w:pPr>
              <w:spacing w:after="0" w:line="240" w:lineRule="auto"/>
              <w:rPr>
                <w:rFonts w:hint="eastAsia"/>
              </w:rPr>
            </w:pPr>
            <w:r>
              <w:t>衡量推荐系统是否兼顾低曝光、非热门习题；数值越高，说明长尾习题获得的曝光越多</w:t>
            </w:r>
          </w:p>
        </w:tc>
      </w:tr>
      <w:tr w14:paraId="6AA6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A7D7EFD">
            <w:pPr>
              <w:spacing w:after="0" w:line="240" w:lineRule="auto"/>
              <w:rPr>
                <w:rFonts w:hint="eastAsia"/>
              </w:rPr>
            </w:pPr>
            <w:r>
              <w:t>LongTailKCExposureShare@K</w:t>
            </w:r>
          </w:p>
        </w:tc>
        <w:tc>
          <w:tcPr>
            <w:tcW w:w="3460" w:type="dxa"/>
            <w:vAlign w:val="center"/>
          </w:tcPr>
          <w:p w14:paraId="5B7D6D93">
            <w:pPr>
              <w:spacing w:after="0" w:line="240" w:lineRule="auto"/>
              <w:rPr>
                <w:rFonts w:hint="eastAsia"/>
              </w:rPr>
            </w:pPr>
            <w:r>
              <w:t>长尾知识点获得的曝光占总曝光的比例</w:t>
            </w:r>
          </w:p>
        </w:tc>
        <w:tc>
          <w:tcPr>
            <w:tcW w:w="2573" w:type="dxa"/>
            <w:vAlign w:val="center"/>
          </w:tcPr>
          <w:p w14:paraId="75E1988C">
            <w:pPr>
              <w:spacing w:after="0" w:line="240" w:lineRule="auto"/>
              <w:rPr>
                <w:rFonts w:hint="eastAsia"/>
              </w:rPr>
            </w:pPr>
            <w:r>
              <w:t>衡量推荐系统是否兼顾低曝光知识点；数值越高，说明长尾知识点获得的曝光越多</w:t>
            </w:r>
          </w:p>
        </w:tc>
      </w:tr>
    </w:tbl>
    <w:p w14:paraId="256FC141">
      <w:pPr>
        <w:spacing w:after="120" w:line="276" w:lineRule="auto"/>
        <w:rPr>
          <w:rFonts w:ascii="Times New Roman" w:hAnsi="Times New Roman" w:eastAsia="宋体"/>
          <w:b w:val="0"/>
          <w:color w:val="000000"/>
          <w:sz w:val="22"/>
        </w:rPr>
      </w:pPr>
    </w:p>
    <w:p w14:paraId="003DDD99">
      <w:pPr>
        <w:spacing w:after="120" w:line="276" w:lineRule="auto"/>
        <w:rPr>
          <w:rFonts w:ascii="Times New Roman" w:hAnsi="Times New Roman" w:eastAsia="宋体"/>
          <w:b w:val="0"/>
          <w:color w:val="000000"/>
          <w:sz w:val="22"/>
        </w:rPr>
      </w:pPr>
      <w:r>
        <w:rPr>
          <w:rFonts w:ascii="Times New Roman" w:hAnsi="Times New Roman" w:eastAsia="宋体"/>
          <w:b w:val="0"/>
          <w:color w:val="000000"/>
          <w:sz w:val="22"/>
        </w:rPr>
        <w:t>当前指标主要观察习题曝光、知识点覆盖、长尾习题曝光和长尾知识点曝光。</w:t>
      </w:r>
    </w:p>
    <w:p w14:paraId="5F92081A">
      <w:pPr>
        <w:spacing w:after="120" w:line="276" w:lineRule="auto"/>
        <w:rPr>
          <w:rFonts w:ascii="Times New Roman" w:hAnsi="Times New Roman" w:eastAsia="宋体"/>
          <w:b w:val="0"/>
          <w:color w:val="000000"/>
          <w:sz w:val="22"/>
        </w:rPr>
      </w:pPr>
      <w:r>
        <w:rPr>
          <w:rFonts w:ascii="Times New Roman" w:hAnsi="Times New Roman" w:eastAsia="宋体"/>
          <w:b w:val="0"/>
          <w:color w:val="000000"/>
          <w:sz w:val="22"/>
        </w:rPr>
        <w:t>已有实验说明，后处理方法对资源分布影响最明显，能够显著提高 ItemCoverage、KCCoverage 和 LongTailShare。</w:t>
      </w:r>
    </w:p>
    <w:p w14:paraId="2DB2D82D">
      <w:pPr>
        <w:spacing w:after="120" w:line="276" w:lineRule="auto"/>
        <w:rPr>
          <w:rFonts w:ascii="Times New Roman" w:hAnsi="Times New Roman" w:eastAsia="宋体"/>
          <w:b w:val="0"/>
          <w:color w:val="000000"/>
          <w:sz w:val="22"/>
        </w:rPr>
      </w:pPr>
    </w:p>
    <w:p w14:paraId="22F0D4C8">
      <w:pPr>
        <w:spacing w:after="120" w:line="276" w:lineRule="auto"/>
      </w:pPr>
      <w:r>
        <w:rPr>
          <w:rFonts w:ascii="Times New Roman" w:hAnsi="Times New Roman" w:eastAsia="宋体"/>
          <w:b w:val="0"/>
          <w:color w:val="000000"/>
          <w:sz w:val="22"/>
        </w:rPr>
        <w:t>但这些结果主要证明推荐资源分布变得更分散，还不能直接证明学生层面的公平性已经改善。</w:t>
      </w:r>
    </w:p>
    <w:p w14:paraId="3BC3932F">
      <w:pPr>
        <w:spacing w:after="120" w:line="276" w:lineRule="auto"/>
      </w:pPr>
      <w:r>
        <w:rPr>
          <w:rFonts w:ascii="Times New Roman" w:hAnsi="Times New Roman" w:eastAsia="宋体"/>
          <w:b w:val="0"/>
          <w:color w:val="000000"/>
          <w:sz w:val="22"/>
        </w:rPr>
        <w:t>公平性不能只由“分布更平均”定义，必须先说明公平受益人是谁、系统分配的是什么、比较原则是什么。在推荐系统文献中，公平性可以分为用户侧公平、物品或提供者侧公平、多方公平。但如果讨论物品侧公平，通常需要说明物品背后对应真实权益主体，或者说明物品曝光影响用户获得资源的机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0AEB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9EAF7"/>
            <w:vAlign w:val="center"/>
          </w:tcPr>
          <w:p w14:paraId="30E5264C">
            <w:pPr>
              <w:spacing w:after="0" w:line="259" w:lineRule="auto"/>
              <w:jc w:val="center"/>
            </w:pPr>
            <w:r>
              <w:rPr>
                <w:rFonts w:ascii="Times New Roman" w:hAnsi="Times New Roman" w:eastAsia="宋体"/>
                <w:b/>
                <w:color w:val="000000"/>
                <w:sz w:val="19"/>
              </w:rPr>
              <w:t>公平性要素</w:t>
            </w:r>
          </w:p>
        </w:tc>
        <w:tc>
          <w:tcPr>
            <w:tcW w:w="2835" w:type="dxa"/>
            <w:shd w:val="clear" w:color="auto" w:fill="D9EAF7"/>
            <w:vAlign w:val="center"/>
          </w:tcPr>
          <w:p w14:paraId="798DE874">
            <w:pPr>
              <w:spacing w:after="0" w:line="259" w:lineRule="auto"/>
              <w:jc w:val="center"/>
            </w:pPr>
            <w:r>
              <w:rPr>
                <w:rFonts w:ascii="Times New Roman" w:hAnsi="Times New Roman" w:eastAsia="宋体"/>
                <w:b/>
                <w:color w:val="000000"/>
                <w:sz w:val="19"/>
              </w:rPr>
              <w:t>严谨定义</w:t>
            </w:r>
          </w:p>
        </w:tc>
        <w:tc>
          <w:tcPr>
            <w:tcW w:w="3969" w:type="dxa"/>
            <w:shd w:val="clear" w:color="auto" w:fill="D9EAF7"/>
            <w:vAlign w:val="center"/>
          </w:tcPr>
          <w:p w14:paraId="605EC864">
            <w:pPr>
              <w:spacing w:after="0" w:line="259" w:lineRule="auto"/>
              <w:jc w:val="center"/>
            </w:pPr>
            <w:r>
              <w:rPr>
                <w:rFonts w:ascii="Times New Roman" w:hAnsi="Times New Roman" w:eastAsia="宋体"/>
                <w:b/>
                <w:color w:val="000000"/>
                <w:sz w:val="19"/>
              </w:rPr>
              <w:t>放到本项目中的含义</w:t>
            </w:r>
          </w:p>
        </w:tc>
      </w:tr>
      <w:tr w14:paraId="0719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D97684E">
            <w:pPr>
              <w:spacing w:after="0" w:line="259" w:lineRule="auto"/>
            </w:pPr>
            <w:r>
              <w:rPr>
                <w:rFonts w:ascii="Times New Roman" w:hAnsi="Times New Roman" w:eastAsia="宋体"/>
                <w:b w:val="0"/>
                <w:color w:val="000000"/>
                <w:sz w:val="18"/>
              </w:rPr>
              <w:t>受益人</w:t>
            </w:r>
          </w:p>
        </w:tc>
        <w:tc>
          <w:tcPr>
            <w:tcW w:w="2835" w:type="dxa"/>
            <w:vAlign w:val="center"/>
          </w:tcPr>
          <w:p w14:paraId="7012EF61">
            <w:pPr>
              <w:spacing w:after="0" w:line="259" w:lineRule="auto"/>
            </w:pPr>
            <w:r>
              <w:rPr>
                <w:rFonts w:ascii="Times New Roman" w:hAnsi="Times New Roman" w:eastAsia="宋体"/>
                <w:b w:val="0"/>
                <w:color w:val="000000"/>
                <w:sz w:val="18"/>
              </w:rPr>
              <w:t>受到推荐结果影响、具有利益诉求的对象</w:t>
            </w:r>
          </w:p>
        </w:tc>
        <w:tc>
          <w:tcPr>
            <w:tcW w:w="3969" w:type="dxa"/>
            <w:vAlign w:val="center"/>
          </w:tcPr>
          <w:p w14:paraId="4506E3B8">
            <w:pPr>
              <w:spacing w:after="0" w:line="259" w:lineRule="auto"/>
            </w:pPr>
            <w:r>
              <w:rPr>
                <w:rFonts w:ascii="Times New Roman" w:hAnsi="Times New Roman" w:eastAsia="宋体"/>
                <w:b w:val="0"/>
                <w:color w:val="000000"/>
                <w:sz w:val="18"/>
              </w:rPr>
              <w:t>最终应是学生；当前 Eedi 没有题目作者或教师归属</w:t>
            </w:r>
          </w:p>
        </w:tc>
      </w:tr>
      <w:tr w14:paraId="6675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9108FE">
            <w:pPr>
              <w:spacing w:after="0" w:line="259" w:lineRule="auto"/>
            </w:pPr>
            <w:r>
              <w:rPr>
                <w:rFonts w:ascii="Times New Roman" w:hAnsi="Times New Roman" w:eastAsia="宋体"/>
                <w:b w:val="0"/>
                <w:color w:val="000000"/>
                <w:sz w:val="18"/>
              </w:rPr>
              <w:t>分配对象</w:t>
            </w:r>
          </w:p>
        </w:tc>
        <w:tc>
          <w:tcPr>
            <w:tcW w:w="2835" w:type="dxa"/>
            <w:vAlign w:val="center"/>
          </w:tcPr>
          <w:p w14:paraId="5711165F">
            <w:pPr>
              <w:spacing w:after="0" w:line="259" w:lineRule="auto"/>
            </w:pPr>
            <w:r>
              <w:rPr>
                <w:rFonts w:ascii="Times New Roman" w:hAnsi="Times New Roman" w:eastAsia="宋体"/>
                <w:b w:val="0"/>
                <w:color w:val="000000"/>
                <w:sz w:val="18"/>
              </w:rPr>
              <w:t>系统实际分配的待遇或机会</w:t>
            </w:r>
          </w:p>
        </w:tc>
        <w:tc>
          <w:tcPr>
            <w:tcW w:w="3969" w:type="dxa"/>
            <w:vAlign w:val="center"/>
          </w:tcPr>
          <w:p w14:paraId="11A50F55">
            <w:pPr>
              <w:spacing w:after="0" w:line="259" w:lineRule="auto"/>
            </w:pPr>
            <w:r>
              <w:rPr>
                <w:rFonts w:ascii="Times New Roman" w:hAnsi="Times New Roman" w:eastAsia="宋体"/>
                <w:b w:val="0"/>
                <w:color w:val="000000"/>
                <w:sz w:val="18"/>
              </w:rPr>
              <w:t>Top-K 推荐位、习题曝光、知识点学习机会</w:t>
            </w:r>
          </w:p>
        </w:tc>
      </w:tr>
      <w:tr w14:paraId="437E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9A31FF">
            <w:pPr>
              <w:spacing w:after="0" w:line="259" w:lineRule="auto"/>
            </w:pPr>
            <w:r>
              <w:rPr>
                <w:rFonts w:ascii="Times New Roman" w:hAnsi="Times New Roman" w:eastAsia="宋体"/>
                <w:b w:val="0"/>
                <w:color w:val="000000"/>
                <w:sz w:val="18"/>
              </w:rPr>
              <w:t>比较原则</w:t>
            </w:r>
          </w:p>
        </w:tc>
        <w:tc>
          <w:tcPr>
            <w:tcW w:w="2835" w:type="dxa"/>
            <w:vAlign w:val="center"/>
          </w:tcPr>
          <w:p w14:paraId="3CFBBDB0">
            <w:pPr>
              <w:spacing w:after="0" w:line="259" w:lineRule="auto"/>
            </w:pPr>
            <w:r>
              <w:rPr>
                <w:rFonts w:ascii="Times New Roman" w:hAnsi="Times New Roman" w:eastAsia="宋体"/>
                <w:b w:val="0"/>
                <w:color w:val="000000"/>
                <w:sz w:val="18"/>
              </w:rPr>
              <w:t>哪些对象之间应相等或相近</w:t>
            </w:r>
          </w:p>
        </w:tc>
        <w:tc>
          <w:tcPr>
            <w:tcW w:w="3969" w:type="dxa"/>
            <w:vAlign w:val="center"/>
          </w:tcPr>
          <w:p w14:paraId="0D5D9C6D">
            <w:pPr>
              <w:spacing w:after="0" w:line="259" w:lineRule="auto"/>
            </w:pPr>
            <w:r>
              <w:rPr>
                <w:rFonts w:ascii="Times New Roman" w:hAnsi="Times New Roman" w:eastAsia="宋体"/>
                <w:b w:val="0"/>
                <w:color w:val="000000"/>
                <w:sz w:val="18"/>
              </w:rPr>
              <w:t>认知状态或学习需求相近的学生，应获得相近质量的学习机会</w:t>
            </w:r>
          </w:p>
        </w:tc>
      </w:tr>
      <w:tr w14:paraId="5D5C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A992E5">
            <w:pPr>
              <w:spacing w:after="0" w:line="259" w:lineRule="auto"/>
            </w:pPr>
            <w:r>
              <w:rPr>
                <w:rFonts w:ascii="Times New Roman" w:hAnsi="Times New Roman" w:eastAsia="宋体"/>
                <w:b w:val="0"/>
                <w:color w:val="000000"/>
                <w:sz w:val="18"/>
              </w:rPr>
              <w:t>约束条件</w:t>
            </w:r>
          </w:p>
        </w:tc>
        <w:tc>
          <w:tcPr>
            <w:tcW w:w="2835" w:type="dxa"/>
            <w:vAlign w:val="center"/>
          </w:tcPr>
          <w:p w14:paraId="0FFB6CA3">
            <w:pPr>
              <w:spacing w:after="0" w:line="259" w:lineRule="auto"/>
            </w:pPr>
            <w:r>
              <w:rPr>
                <w:rFonts w:ascii="Times New Roman" w:hAnsi="Times New Roman" w:eastAsia="宋体"/>
                <w:b w:val="0"/>
                <w:color w:val="000000"/>
                <w:sz w:val="18"/>
              </w:rPr>
              <w:t>公平不能脱离效用和相关性</w:t>
            </w:r>
          </w:p>
        </w:tc>
        <w:tc>
          <w:tcPr>
            <w:tcW w:w="3969" w:type="dxa"/>
            <w:vAlign w:val="center"/>
          </w:tcPr>
          <w:p w14:paraId="6F5085CB">
            <w:pPr>
              <w:spacing w:after="0" w:line="259" w:lineRule="auto"/>
            </w:pPr>
            <w:r>
              <w:rPr>
                <w:rFonts w:ascii="Times New Roman" w:hAnsi="Times New Roman" w:eastAsia="宋体"/>
                <w:b w:val="0"/>
                <w:color w:val="000000"/>
                <w:sz w:val="18"/>
              </w:rPr>
              <w:t>低频习题只有在与学生需求相关时，增加曝光才有教育意义</w:t>
            </w:r>
          </w:p>
        </w:tc>
      </w:tr>
    </w:tbl>
    <w:p w14:paraId="5F8A5E36">
      <w:pPr>
        <w:spacing w:after="40"/>
      </w:pPr>
    </w:p>
    <w:p w14:paraId="5D3E48F3">
      <w:pPr>
        <w:spacing w:after="120" w:line="276" w:lineRule="auto"/>
      </w:pPr>
      <w:r>
        <w:rPr>
          <w:rFonts w:ascii="Times New Roman" w:hAnsi="Times New Roman" w:eastAsia="宋体"/>
          <w:b w:val="0"/>
          <w:color w:val="000000"/>
          <w:sz w:val="22"/>
        </w:rPr>
        <w:t>习题和知识点不应被直接写成最终公平主体，更准确的定义是：以学生学习机会公平为最终目标，以习题和知识点作为教育资源与内容机会的载体，缓解模型对热门习题和热门知识点的过度放大。</w:t>
      </w:r>
    </w:p>
    <w:p w14:paraId="21BBC675">
      <w:pPr>
        <w:pStyle w:val="3"/>
        <w:spacing w:before="160" w:after="80"/>
      </w:pPr>
      <w:r>
        <w:rPr>
          <w:rFonts w:hint="eastAsia" w:ascii="Times New Roman" w:hAnsi="Times New Roman" w:eastAsia="宋体"/>
          <w:b/>
          <w:color w:val="000000"/>
          <w:sz w:val="28"/>
          <w:lang w:val="en-US" w:eastAsia="zh-CN"/>
        </w:rPr>
        <w:t>二</w:t>
      </w:r>
      <w:r>
        <w:rPr>
          <w:rFonts w:ascii="Times New Roman" w:hAnsi="Times New Roman" w:eastAsia="宋体"/>
          <w:b/>
          <w:color w:val="000000"/>
          <w:sz w:val="28"/>
        </w:rPr>
        <w:t>、去偏的定义及其在本任务中的应用</w:t>
      </w:r>
    </w:p>
    <w:p w14:paraId="2088F57D">
      <w:pPr>
        <w:spacing w:after="120" w:line="276" w:lineRule="auto"/>
        <w:rPr>
          <w:rFonts w:ascii="Times New Roman" w:hAnsi="Times New Roman" w:eastAsia="宋体"/>
          <w:b w:val="0"/>
          <w:color w:val="000000"/>
          <w:sz w:val="22"/>
        </w:rPr>
      </w:pPr>
      <w:r>
        <w:rPr>
          <w:rFonts w:ascii="Times New Roman" w:hAnsi="Times New Roman" w:eastAsia="宋体"/>
          <w:b w:val="0"/>
          <w:color w:val="000000"/>
          <w:sz w:val="22"/>
        </w:rPr>
        <w:t>去偏的核心不是让所有资源平均出现，而是减少由非随机观测、历史流行度、伪标签构造或模型学习机制带来的系统性偏差。</w:t>
      </w:r>
    </w:p>
    <w:p w14:paraId="2B9E9927">
      <w:pPr>
        <w:spacing w:after="120" w:line="276" w:lineRule="auto"/>
      </w:pPr>
      <w:r>
        <w:rPr>
          <w:rFonts w:ascii="Times New Roman" w:hAnsi="Times New Roman" w:eastAsia="宋体"/>
          <w:b w:val="0"/>
          <w:color w:val="000000"/>
          <w:sz w:val="22"/>
        </w:rPr>
        <w:t>在本项目中，偏差</w:t>
      </w:r>
      <w:r>
        <w:rPr>
          <w:rFonts w:hint="eastAsia"/>
          <w:b w:val="0"/>
          <w:color w:val="000000"/>
          <w:sz w:val="22"/>
          <w:lang w:val="en-US" w:eastAsia="zh-CN"/>
        </w:rPr>
        <w:t>可以</w:t>
      </w:r>
      <w:r>
        <w:rPr>
          <w:rFonts w:ascii="Times New Roman" w:hAnsi="Times New Roman" w:eastAsia="宋体"/>
          <w:b w:val="0"/>
          <w:color w:val="000000"/>
          <w:sz w:val="22"/>
        </w:rPr>
        <w:t>定义</w:t>
      </w:r>
      <w:r>
        <w:rPr>
          <w:rFonts w:hint="eastAsia"/>
          <w:b w:val="0"/>
          <w:color w:val="000000"/>
          <w:sz w:val="22"/>
          <w:lang w:val="en-US" w:eastAsia="zh-CN"/>
        </w:rPr>
        <w:t>为</w:t>
      </w:r>
      <w:bookmarkStart w:id="0" w:name="_GoBack"/>
      <w:bookmarkEnd w:id="0"/>
      <w:r>
        <w:rPr>
          <w:rFonts w:ascii="Times New Roman" w:hAnsi="Times New Roman" w:eastAsia="宋体"/>
          <w:b w:val="0"/>
          <w:color w:val="000000"/>
          <w:sz w:val="22"/>
        </w:rPr>
        <w:t>推荐阶段的流行度偏差和偏差放大：如果真实训练交互已经是长尾分布，前置伪标签和模型输出又进一步把推荐集中到少数热门习题或热门知识点，就说明模型在放大输入偏差。</w:t>
      </w:r>
    </w:p>
    <w:p w14:paraId="59F4C6B4">
      <w:pPr>
        <w:spacing w:after="120" w:line="276" w:lineRule="auto"/>
      </w:pPr>
      <w:r>
        <w:rPr>
          <w:rFonts w:ascii="Times New Roman" w:hAnsi="Times New Roman" w:eastAsia="宋体"/>
          <w:b w:val="0"/>
          <w:color w:val="000000"/>
          <w:sz w:val="22"/>
        </w:rPr>
        <w:t>因此，我们后续应比较四个分布：真实训练交互分布 p_data，前置 Top-10 伪推荐标签分布 p_label，基础模型输出分布 p_base，以及去偏模型输出分布 p_debias。如果 p_debias 相比 p_base 更接近合理参照，并且 Ada、NOV 或知识需求匹配没有明显损失，才可以说推荐阶段去偏有效。</w:t>
      </w:r>
    </w:p>
    <w:p w14:paraId="6E18000D">
      <w:pPr>
        <w:spacing w:after="120" w:line="276" w:lineRule="auto"/>
        <w:rPr>
          <w:rFonts w:ascii="Times New Roman" w:hAnsi="Times New Roman" w:eastAsia="宋体"/>
          <w:b w:val="0"/>
          <w:color w:val="000000"/>
          <w:sz w:val="22"/>
        </w:rPr>
      </w:pPr>
      <w:r>
        <w:rPr>
          <w:rFonts w:ascii="Times New Roman" w:hAnsi="Times New Roman" w:eastAsia="宋体"/>
          <w:b w:val="0"/>
          <w:color w:val="000000"/>
          <w:sz w:val="22"/>
        </w:rPr>
        <w:t>具体落地方式可以分为三层：预处理阶段重构训练 rec 边，降低热门习题进入训练图的优势；模型内阶段加入流行度分支、学生个体流行度偏好和知识需求约束；后处理阶段在 Top-K 排序上进行流行度校正或 quota 约束。这三类方法可以自由组合，但每类都要单独做消融。</w:t>
      </w:r>
    </w:p>
    <w:p w14:paraId="074E7E67">
      <w:pPr>
        <w:pStyle w:val="3"/>
        <w:spacing w:before="160" w:after="80"/>
      </w:pPr>
      <w:r>
        <w:rPr>
          <w:rFonts w:hint="eastAsia" w:ascii="Times New Roman" w:hAnsi="Times New Roman" w:eastAsia="宋体"/>
          <w:b/>
          <w:color w:val="000000"/>
          <w:sz w:val="28"/>
          <w:lang w:val="en-US" w:eastAsia="zh-CN"/>
        </w:rPr>
        <w:t>三</w:t>
      </w:r>
      <w:r>
        <w:rPr>
          <w:rFonts w:ascii="Times New Roman" w:hAnsi="Times New Roman" w:eastAsia="宋体"/>
          <w:b/>
          <w:color w:val="000000"/>
          <w:sz w:val="28"/>
        </w:rPr>
        <w:t>、下一步改进方向</w:t>
      </w:r>
    </w:p>
    <w:p w14:paraId="290FE362">
      <w:pPr>
        <w:pStyle w:val="16"/>
        <w:numPr>
          <w:numId w:val="0"/>
        </w:numPr>
        <w:spacing w:after="80" w:line="276" w:lineRule="auto"/>
        <w:ind w:leftChars="0"/>
        <w:rPr>
          <w:rFonts w:hint="eastAsia"/>
          <w:b w:val="0"/>
          <w:color w:val="000000"/>
          <w:sz w:val="22"/>
          <w:lang w:val="en-US" w:eastAsia="zh-CN"/>
        </w:rPr>
      </w:pPr>
    </w:p>
    <w:p w14:paraId="6B1BFDF1">
      <w:pPr>
        <w:pStyle w:val="16"/>
        <w:numPr>
          <w:numId w:val="0"/>
        </w:numPr>
        <w:spacing w:after="80" w:line="276" w:lineRule="auto"/>
        <w:ind w:leftChars="0"/>
      </w:pPr>
      <w:r>
        <w:rPr>
          <w:rFonts w:hint="eastAsia"/>
          <w:b w:val="0"/>
          <w:color w:val="000000"/>
          <w:sz w:val="22"/>
          <w:lang w:val="en-US" w:eastAsia="zh-CN"/>
        </w:rPr>
        <w:t>公平角度：</w:t>
      </w:r>
    </w:p>
    <w:p w14:paraId="3C27748E">
      <w:pPr>
        <w:numPr>
          <w:ilvl w:val="0"/>
          <w:numId w:val="3"/>
        </w:numPr>
        <w:spacing w:after="80" w:line="276" w:lineRule="auto"/>
        <w:ind w:left="360" w:leftChars="0" w:hanging="360" w:firstLineChars="0"/>
        <w:contextualSpacing/>
        <w:rPr>
          <w:rFonts w:ascii="Times New Roman" w:hAnsi="Times New Roman" w:eastAsia="宋体" w:cstheme="minorBidi"/>
          <w:sz w:val="22"/>
          <w:szCs w:val="22"/>
          <w:lang w:val="en-US" w:eastAsia="en-US" w:bidi="ar-SA"/>
        </w:rPr>
      </w:pPr>
      <w:r>
        <w:rPr>
          <w:rFonts w:ascii="Times New Roman" w:hAnsi="Times New Roman" w:eastAsia="宋体" w:cstheme="minorBidi"/>
          <w:b w:val="0"/>
          <w:color w:val="000000"/>
          <w:sz w:val="22"/>
          <w:szCs w:val="22"/>
          <w:lang w:val="en-US" w:eastAsia="en-US" w:bidi="ar-SA"/>
        </w:rPr>
        <w:t>公平目标落回学生，把 item/KC 指标作为中间机制和证据。</w:t>
      </w:r>
      <w:r>
        <w:rPr>
          <w:rFonts w:ascii="Times New Roman" w:hAnsi="Times New Roman" w:eastAsia="宋体"/>
          <w:b w:val="0"/>
          <w:color w:val="000000"/>
          <w:sz w:val="22"/>
        </w:rPr>
        <w:t>习题和知识点可以作为资源曝光和学习机会的载体，但最终公平对象应是学生</w:t>
      </w:r>
      <w:r>
        <w:rPr>
          <w:rFonts w:hint="eastAsia"/>
          <w:b w:val="0"/>
          <w:color w:val="000000"/>
          <w:sz w:val="22"/>
          <w:lang w:eastAsia="zh-CN"/>
        </w:rPr>
        <w:t>。</w:t>
      </w:r>
    </w:p>
    <w:p w14:paraId="6C7FB6B7">
      <w:pPr>
        <w:numPr>
          <w:ilvl w:val="0"/>
          <w:numId w:val="3"/>
        </w:numPr>
        <w:spacing w:after="80" w:line="276" w:lineRule="auto"/>
        <w:ind w:left="360" w:leftChars="0" w:hanging="360" w:firstLineChars="0"/>
        <w:contextualSpacing/>
        <w:rPr>
          <w:rFonts w:ascii="Times New Roman" w:hAnsi="Times New Roman" w:eastAsia="宋体" w:cstheme="minorBidi"/>
          <w:sz w:val="22"/>
          <w:szCs w:val="22"/>
          <w:lang w:val="en-US" w:eastAsia="en-US" w:bidi="ar-SA"/>
        </w:rPr>
      </w:pPr>
      <w:r>
        <w:rPr>
          <w:rFonts w:ascii="Times New Roman" w:hAnsi="Times New Roman" w:eastAsia="宋体"/>
          <w:b w:val="0"/>
          <w:color w:val="000000"/>
          <w:sz w:val="22"/>
        </w:rPr>
        <w:t>补充学生侧指标：按学生历史流行度偏好、掌握度水平或推荐质量分组，观察不同学生是否获得更稳定的学习机会。</w:t>
      </w:r>
    </w:p>
    <w:p w14:paraId="1D35AD6B">
      <w:pPr>
        <w:pStyle w:val="16"/>
        <w:spacing w:after="80" w:line="276" w:lineRule="auto"/>
      </w:pPr>
      <w:r>
        <w:rPr>
          <w:rFonts w:ascii="Times New Roman" w:hAnsi="Times New Roman" w:eastAsia="宋体"/>
          <w:b w:val="0"/>
          <w:color w:val="000000"/>
          <w:sz w:val="22"/>
        </w:rPr>
        <w:t>保留已有 Pre/In/Post 框架，但每个模块都要单独做消融，不能只展示组合最优结果。</w:t>
      </w:r>
    </w:p>
    <w:p w14:paraId="059314C6">
      <w:pPr>
        <w:pStyle w:val="16"/>
        <w:numPr>
          <w:numId w:val="0"/>
        </w:numPr>
        <w:spacing w:after="80" w:line="276" w:lineRule="auto"/>
        <w:ind w:leftChars="0"/>
        <w:rPr>
          <w:rFonts w:hint="eastAsia"/>
          <w:lang w:val="en-US" w:eastAsia="zh-CN"/>
        </w:rPr>
      </w:pPr>
    </w:p>
    <w:p w14:paraId="6E6F809F">
      <w:pPr>
        <w:pStyle w:val="16"/>
        <w:numPr>
          <w:numId w:val="0"/>
        </w:numPr>
        <w:spacing w:after="80" w:line="276" w:lineRule="auto"/>
        <w:ind w:leftChars="0"/>
        <w:rPr>
          <w:rFonts w:hint="default" w:eastAsia="宋体"/>
          <w:lang w:val="en-US" w:eastAsia="zh-CN"/>
        </w:rPr>
      </w:pPr>
      <w:r>
        <w:rPr>
          <w:rFonts w:hint="eastAsia"/>
          <w:lang w:val="en-US" w:eastAsia="zh-CN"/>
        </w:rPr>
        <w:t>去偏角度：</w:t>
      </w:r>
    </w:p>
    <w:p w14:paraId="6ADF1390">
      <w:pPr>
        <w:pStyle w:val="16"/>
        <w:spacing w:after="80" w:line="276" w:lineRule="auto"/>
      </w:pPr>
      <w:r>
        <w:rPr>
          <w:rFonts w:ascii="Times New Roman" w:hAnsi="Times New Roman" w:eastAsia="宋体"/>
          <w:b w:val="0"/>
          <w:color w:val="000000"/>
          <w:sz w:val="22"/>
        </w:rPr>
        <w:t>从“习题/知识点公平”调整为“面向学生学习机会的资源流行度去偏”。</w:t>
      </w:r>
    </w:p>
    <w:p w14:paraId="28056BFB">
      <w:pPr>
        <w:pStyle w:val="16"/>
        <w:spacing w:after="80" w:line="276" w:lineRule="auto"/>
      </w:pPr>
      <w:r>
        <w:rPr>
          <w:rFonts w:ascii="Times New Roman" w:hAnsi="Times New Roman" w:eastAsia="宋体"/>
          <w:b w:val="0"/>
          <w:color w:val="000000"/>
          <w:sz w:val="22"/>
        </w:rPr>
        <w:t>升级模型内方法：加入全局流行度分支、个人流行度分支和知识需求约束，用反事实分数校正替代单纯的全局均匀正则。</w:t>
      </w:r>
    </w:p>
    <w:p w14:paraId="17FE432E">
      <w:pPr>
        <w:pStyle w:val="16"/>
        <w:spacing w:after="80" w:line="276" w:lineRule="auto"/>
      </w:pPr>
      <w:r>
        <w:rPr>
          <w:rFonts w:ascii="Times New Roman" w:hAnsi="Times New Roman" w:eastAsia="宋体"/>
          <w:b w:val="0"/>
          <w:color w:val="000000"/>
          <w:sz w:val="22"/>
        </w:rPr>
        <w:t>补充偏差链诊断：比较 p_data、p_label、p_base、p_debias，证明模型是否存在偏差放大，以及改造是否缓解放大</w:t>
      </w:r>
      <w:r>
        <w:rPr>
          <w:rFonts w:hint="eastAsia"/>
          <w:b w:val="0"/>
          <w:color w:val="000000"/>
          <w:sz w:val="22"/>
          <w:lang w:eastAsia="zh-CN"/>
        </w:rPr>
        <w:t>。</w:t>
      </w:r>
      <w:r>
        <w:rPr>
          <w:rFonts w:hint="eastAsia" w:ascii="Times New Roman" w:hAnsi="Times New Roman" w:eastAsia="宋体"/>
          <w:b w:val="0"/>
          <w:color w:val="000000"/>
          <w:sz w:val="22"/>
        </w:rPr>
        <w:t>不是简单追求习题平均曝光，而是在教育相关性约束下，减少模型对热门资源的偏差放大，并进一步验证这种资源去偏是否能带来更公平的学生学习机会。</w:t>
      </w:r>
    </w:p>
    <w:p w14:paraId="64919DE0">
      <w:pPr>
        <w:pStyle w:val="16"/>
        <w:numPr>
          <w:numId w:val="0"/>
        </w:numPr>
        <w:spacing w:after="80" w:line="276" w:lineRule="auto"/>
        <w:ind w:leftChars="0"/>
      </w:pPr>
    </w:p>
    <w:p w14:paraId="0CA628C6">
      <w:pPr>
        <w:pStyle w:val="3"/>
        <w:spacing w:before="160" w:after="80"/>
        <w:rPr>
          <w:rFonts w:hint="eastAsia" w:ascii="Times New Roman" w:hAnsi="Times New Roman" w:eastAsia="宋体"/>
          <w:b/>
          <w:color w:val="000000"/>
          <w:sz w:val="28"/>
          <w:lang w:val="en-US" w:eastAsia="zh-CN"/>
        </w:rPr>
      </w:pPr>
    </w:p>
    <w:p w14:paraId="3F974765">
      <w:pPr>
        <w:pStyle w:val="3"/>
        <w:spacing w:before="160" w:after="80"/>
        <w:rPr>
          <w:rFonts w:hint="eastAsia" w:ascii="Times New Roman" w:hAnsi="Times New Roman" w:eastAsia="宋体"/>
          <w:b/>
          <w:color w:val="000000"/>
          <w:sz w:val="28"/>
          <w:lang w:val="en-US" w:eastAsia="zh-CN"/>
        </w:rPr>
      </w:pPr>
    </w:p>
    <w:p w14:paraId="4B629E82">
      <w:pPr>
        <w:pStyle w:val="3"/>
        <w:spacing w:before="160" w:after="80"/>
        <w:rPr>
          <w:rFonts w:hint="eastAsia" w:ascii="Times New Roman" w:hAnsi="Times New Roman" w:eastAsia="宋体"/>
          <w:b/>
          <w:color w:val="000000"/>
          <w:sz w:val="28"/>
          <w:lang w:val="en-US" w:eastAsia="zh-CN"/>
        </w:rPr>
      </w:pPr>
    </w:p>
    <w:p w14:paraId="0C7AAD03">
      <w:pPr>
        <w:pStyle w:val="3"/>
        <w:spacing w:before="160" w:after="80"/>
        <w:rPr>
          <w:rFonts w:hint="eastAsia" w:ascii="Times New Roman" w:hAnsi="Times New Roman" w:eastAsia="宋体"/>
          <w:b/>
          <w:color w:val="000000"/>
          <w:sz w:val="28"/>
          <w:lang w:val="en-US" w:eastAsia="zh-CN"/>
        </w:rPr>
      </w:pPr>
    </w:p>
    <w:p w14:paraId="721CB829">
      <w:pPr>
        <w:pStyle w:val="3"/>
        <w:spacing w:before="160" w:after="80"/>
      </w:pPr>
      <w:r>
        <w:rPr>
          <w:rFonts w:hint="eastAsia" w:ascii="Times New Roman" w:hAnsi="Times New Roman" w:eastAsia="宋体"/>
          <w:b/>
          <w:color w:val="000000"/>
          <w:sz w:val="28"/>
          <w:lang w:val="en-US" w:eastAsia="zh-CN"/>
        </w:rPr>
        <w:t>四</w:t>
      </w:r>
      <w:r>
        <w:rPr>
          <w:rFonts w:ascii="Times New Roman" w:hAnsi="Times New Roman" w:eastAsia="宋体"/>
          <w:b/>
          <w:color w:val="000000"/>
          <w:sz w:val="28"/>
        </w:rPr>
        <w:t>、DBCD 论文启发</w:t>
      </w:r>
    </w:p>
    <w:p w14:paraId="23B9BF76">
      <w:pPr>
        <w:spacing w:after="120" w:line="276" w:lineRule="auto"/>
      </w:pPr>
      <w:r>
        <w:rPr>
          <w:rFonts w:ascii="Times New Roman" w:hAnsi="Times New Roman" w:eastAsia="宋体"/>
          <w:b w:val="0"/>
          <w:color w:val="000000"/>
          <w:sz w:val="22"/>
        </w:rPr>
        <w:t>DBCD 论文主要研究认知诊断阶段的去偏</w:t>
      </w:r>
      <w:r>
        <w:rPr>
          <w:rFonts w:hint="eastAsia"/>
          <w:b w:val="0"/>
          <w:color w:val="000000"/>
          <w:sz w:val="22"/>
          <w:lang w:eastAsia="zh-CN"/>
        </w:rPr>
        <w:t>，</w:t>
      </w:r>
      <w:r>
        <w:rPr>
          <w:rFonts w:ascii="Times New Roman" w:hAnsi="Times New Roman" w:eastAsia="宋体"/>
          <w:b w:val="0"/>
          <w:color w:val="000000"/>
          <w:sz w:val="22"/>
        </w:rPr>
        <w:t>它关注的问题是学生作答数据并不是随机观测的：学生可能会选择自己熟悉或容易的题，教师或系统也可能只让学生接触部分题目，所以已观测作答记录存在选择偏差、曝光偏差和 MNAR 问题。</w:t>
      </w:r>
    </w:p>
    <w:p w14:paraId="6FCED1C4">
      <w:pPr>
        <w:spacing w:after="120" w:line="276" w:lineRule="auto"/>
        <w:rPr>
          <w:rFonts w:ascii="Times New Roman" w:hAnsi="Times New Roman" w:eastAsia="宋体"/>
          <w:b w:val="0"/>
          <w:color w:val="000000"/>
          <w:sz w:val="22"/>
        </w:rPr>
      </w:pPr>
      <w:r>
        <w:rPr>
          <w:rFonts w:ascii="Times New Roman" w:hAnsi="Times New Roman" w:eastAsia="宋体"/>
          <w:b w:val="0"/>
          <w:color w:val="000000"/>
          <w:sz w:val="22"/>
        </w:rPr>
        <w:t>DBCD 的核心做法有两点：第一，用 beta-VAE 学习学生潜在知识状态，缓解观测数据不完整带来的表示偏差；第二，为事实习题构造相似的反事实习题，并要求模型在事实和反事实样本上的预测保持一致，它不是给反事实习题生成真实 0/1 标签，而是做预测分布一致性约束。</w:t>
      </w:r>
    </w:p>
    <w:p w14:paraId="3CB4BEE6">
      <w:pPr>
        <w:spacing w:after="120" w:line="276" w:lineRule="auto"/>
        <w:rPr>
          <w:rFonts w:ascii="Times New Roman" w:hAnsi="Times New Roman" w:eastAsia="宋体"/>
          <w:b w:val="0"/>
          <w:color w:val="000000"/>
          <w:sz w:val="22"/>
        </w:rPr>
      </w:pPr>
      <w:r>
        <w:rPr>
          <w:rFonts w:ascii="Times New Roman" w:hAnsi="Times New Roman" w:eastAsia="宋体"/>
          <w:b w:val="0"/>
          <w:color w:val="000000"/>
          <w:sz w:val="22"/>
        </w:rPr>
        <w:t>DBCD 是上游认知诊断去偏，我们当前是下游推荐阶段去偏。两者不应混为一个贡献。更合理的路线是：当前先做好推荐阶段的流行度去偏，后续再考虑把认知诊断去偏作为更可靠的学生状态输入。</w:t>
      </w:r>
    </w:p>
    <w:p w14:paraId="655ED0E0">
      <w:pPr>
        <w:spacing w:after="120" w:line="276" w:lineRule="auto"/>
      </w:pPr>
    </w:p>
    <w:sectPr>
      <w:pgSz w:w="12240" w:h="15840"/>
      <w:pgMar w:top="1191"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53D3"/>
    <w:rsid w:val="00AA1D8D"/>
    <w:rsid w:val="00B47730"/>
    <w:rsid w:val="00CB0664"/>
    <w:rsid w:val="00FC693F"/>
    <w:rsid w:val="05021640"/>
    <w:rsid w:val="070F6232"/>
    <w:rsid w:val="104D01F0"/>
    <w:rsid w:val="11B5604C"/>
    <w:rsid w:val="139C55DE"/>
    <w:rsid w:val="1B3C4E59"/>
    <w:rsid w:val="1F455034"/>
    <w:rsid w:val="1F5A78CD"/>
    <w:rsid w:val="22905D6C"/>
    <w:rsid w:val="261A696E"/>
    <w:rsid w:val="28DA3E7D"/>
    <w:rsid w:val="34FF282F"/>
    <w:rsid w:val="38271FD7"/>
    <w:rsid w:val="3AC12F5B"/>
    <w:rsid w:val="3D175E8C"/>
    <w:rsid w:val="3E2148E6"/>
    <w:rsid w:val="404D70E0"/>
    <w:rsid w:val="45673269"/>
    <w:rsid w:val="4B115470"/>
    <w:rsid w:val="4CC45A5F"/>
    <w:rsid w:val="4E473EF5"/>
    <w:rsid w:val="52E553C3"/>
    <w:rsid w:val="59017396"/>
    <w:rsid w:val="5E9A6F09"/>
    <w:rsid w:val="627715C0"/>
    <w:rsid w:val="68444BA9"/>
    <w:rsid w:val="6B2C02A3"/>
    <w:rsid w:val="6DB93944"/>
    <w:rsid w:val="780307FC"/>
    <w:rsid w:val="7E0155BF"/>
    <w:rsid w:val="7F4D1F29"/>
    <w:rsid w:val="7FB25B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2087</Words>
  <Characters>2480</Characters>
  <Lines>0</Lines>
  <Paragraphs>0</Paragraphs>
  <TotalTime>2</TotalTime>
  <ScaleCrop>false</ScaleCrop>
  <LinksUpToDate>false</LinksUpToDate>
  <CharactersWithSpaces>2549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时不知归</cp:lastModifiedBy>
  <dcterms:modified xsi:type="dcterms:W3CDTF">2026-09-09T05:15:42Z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eyJoZGlkIjoiNzM5M2JjMzk5NzkzMjUwY2U1MjE1NjA1ZWY3MGU0YWQiLCJ1c2VySWQiOiI4MTY0OTYyNzAifQ==</vt:lpwstr>
  </property>
  <property fmtid="{D5CDD505-2E9C-101B-9397-08002B2CF9AE}" pid="3" name="KSOProductBuildVer">
    <vt:lpwstr>2052-12.1.0.28505</vt:lpwstr>
  </property>
  <property fmtid="{D5CDD505-2E9C-101B-9397-08002B2CF9AE}" pid="4" name="ICV">
    <vt:lpwstr>3A865C4A3B674457BF50E255BEBF9F0B_12</vt:lpwstr>
  </property>
</Properties>
</file>