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F00" w:rsidRPr="0014294F" w:rsidRDefault="0014294F" w:rsidP="00D33F00">
      <w:r w:rsidRPr="0014294F">
        <w:t xml:space="preserve">Thank you all for your patience.  </w:t>
      </w:r>
      <w:r w:rsidR="00D33F00">
        <w:t xml:space="preserve">The table below shows where </w:t>
      </w:r>
      <w:r w:rsidR="00DA105D">
        <w:t>the sensors team is</w:t>
      </w:r>
      <w:r w:rsidR="00D33F00">
        <w:t xml:space="preserve"> with the various </w:t>
      </w:r>
      <w:proofErr w:type="spellStart"/>
      <w:r w:rsidR="00D33F00">
        <w:t>OpenSDA</w:t>
      </w:r>
      <w:proofErr w:type="spellEnd"/>
      <w:r w:rsidR="00D33F00">
        <w:t xml:space="preserve"> options for K64F.</w:t>
      </w:r>
    </w:p>
    <w:tbl>
      <w:tblPr>
        <w:tblStyle w:val="TableGrid"/>
        <w:tblW w:w="0" w:type="auto"/>
        <w:tblLook w:val="04A0"/>
      </w:tblPr>
      <w:tblGrid>
        <w:gridCol w:w="1904"/>
        <w:gridCol w:w="1921"/>
        <w:gridCol w:w="2060"/>
        <w:gridCol w:w="1729"/>
        <w:gridCol w:w="1962"/>
      </w:tblGrid>
      <w:tr w:rsidR="00D33F00" w:rsidRPr="0014294F" w:rsidTr="004A1787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00" w:rsidRPr="0014294F" w:rsidRDefault="00D33F00" w:rsidP="004A1787">
            <w:pPr>
              <w:spacing w:after="200" w:line="276" w:lineRule="auto"/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F00" w:rsidRPr="0014294F" w:rsidRDefault="00D33F00" w:rsidP="004A1787">
            <w:pPr>
              <w:spacing w:after="200" w:line="276" w:lineRule="auto"/>
            </w:pPr>
            <w:r w:rsidRPr="0014294F">
              <w:t>MBED CMSIS-DAP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F00" w:rsidRPr="0014294F" w:rsidRDefault="00D33F00" w:rsidP="004A1787">
            <w:pPr>
              <w:spacing w:after="200" w:line="276" w:lineRule="auto"/>
            </w:pPr>
            <w:proofErr w:type="spellStart"/>
            <w:r w:rsidRPr="0014294F">
              <w:t>Segger</w:t>
            </w:r>
            <w:proofErr w:type="spellEnd"/>
            <w:r w:rsidRPr="0014294F">
              <w:t xml:space="preserve"> J-Link OpenSDAV2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00" w:rsidRDefault="00D33F00" w:rsidP="004A1787">
            <w:r>
              <w:t>P&amp;E Micro</w:t>
            </w:r>
          </w:p>
          <w:p w:rsidR="00D33F00" w:rsidRPr="0014294F" w:rsidRDefault="00D33F00" w:rsidP="004A1787">
            <w:proofErr w:type="spellStart"/>
            <w:r>
              <w:t>OpenSDA</w:t>
            </w:r>
            <w:proofErr w:type="spellEnd"/>
            <w:r>
              <w:t xml:space="preserve"> V1.0 (early boards)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F00" w:rsidRPr="0014294F" w:rsidRDefault="00D33F00" w:rsidP="004A1787">
            <w:pPr>
              <w:spacing w:after="200" w:line="276" w:lineRule="auto"/>
            </w:pPr>
            <w:r w:rsidRPr="0014294F">
              <w:t xml:space="preserve">P&amp;E Micro </w:t>
            </w:r>
            <w:proofErr w:type="spellStart"/>
            <w:r>
              <w:t>OpenSDA</w:t>
            </w:r>
            <w:proofErr w:type="spellEnd"/>
            <w:r>
              <w:t xml:space="preserve"> </w:t>
            </w:r>
            <w:r w:rsidRPr="0014294F">
              <w:t>V2.0/2.1</w:t>
            </w:r>
          </w:p>
        </w:tc>
      </w:tr>
      <w:tr w:rsidR="00B46670" w:rsidRPr="0014294F" w:rsidTr="00FF14EB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670" w:rsidRPr="0014294F" w:rsidRDefault="00B46670" w:rsidP="004A1787">
            <w:pPr>
              <w:spacing w:after="200" w:line="276" w:lineRule="auto"/>
            </w:pPr>
            <w:r w:rsidRPr="0014294F">
              <w:t>Drag &amp; drop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670" w:rsidRPr="0014294F" w:rsidRDefault="00B46670" w:rsidP="004A1787">
            <w:pPr>
              <w:spacing w:after="200" w:line="276" w:lineRule="auto"/>
            </w:pPr>
            <w:r w:rsidRPr="0014294F">
              <w:t>Yes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670" w:rsidRPr="0014294F" w:rsidRDefault="00B46670" w:rsidP="004A1787">
            <w:pPr>
              <w:spacing w:after="200" w:line="276" w:lineRule="auto"/>
            </w:pPr>
            <w:r w:rsidRPr="0014294F">
              <w:t>No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r>
              <w:t>Yes (.s19)</w:t>
            </w:r>
          </w:p>
        </w:tc>
        <w:tc>
          <w:tcPr>
            <w:tcW w:w="1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6670" w:rsidRPr="0014294F" w:rsidRDefault="00B46670" w:rsidP="004A1787">
            <w:pPr>
              <w:spacing w:after="200" w:line="276" w:lineRule="auto"/>
            </w:pPr>
            <w:r>
              <w:t>Have not been successful in getting this one to work</w:t>
            </w:r>
          </w:p>
        </w:tc>
      </w:tr>
      <w:tr w:rsidR="00B46670" w:rsidRPr="0014294F" w:rsidTr="00FF14EB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670" w:rsidRPr="0014294F" w:rsidRDefault="00B46670" w:rsidP="004A1787">
            <w:pPr>
              <w:spacing w:after="200" w:line="276" w:lineRule="auto"/>
            </w:pPr>
            <w:r w:rsidRPr="0014294F">
              <w:t>CDC Bridge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670" w:rsidRPr="0014294F" w:rsidRDefault="00B46670" w:rsidP="004A1787">
            <w:pPr>
              <w:spacing w:after="200" w:line="276" w:lineRule="auto"/>
            </w:pPr>
            <w:r>
              <w:t>Visible, but not functional with our software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670" w:rsidRPr="0014294F" w:rsidRDefault="00B46670" w:rsidP="004A1787">
            <w:pPr>
              <w:spacing w:after="200" w:line="276" w:lineRule="auto"/>
            </w:pPr>
            <w:r w:rsidRPr="0014294F">
              <w:t>Yes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r>
              <w:t>Yes</w:t>
            </w: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pPr>
              <w:spacing w:after="200" w:line="276" w:lineRule="auto"/>
            </w:pPr>
          </w:p>
        </w:tc>
      </w:tr>
      <w:tr w:rsidR="00B46670" w:rsidRPr="0014294F" w:rsidTr="00FF14EB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pPr>
              <w:spacing w:after="200" w:line="276" w:lineRule="auto"/>
            </w:pPr>
            <w:r>
              <w:t>CW Download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pPr>
              <w:spacing w:after="200" w:line="276" w:lineRule="auto"/>
            </w:pPr>
            <w:r>
              <w:t>NO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pPr>
              <w:spacing w:after="200" w:line="276" w:lineRule="auto"/>
            </w:pPr>
            <w:r>
              <w:t>Yes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r>
              <w:t>Yes</w:t>
            </w: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pPr>
              <w:spacing w:after="200" w:line="276" w:lineRule="auto"/>
            </w:pPr>
          </w:p>
        </w:tc>
      </w:tr>
      <w:tr w:rsidR="00B46670" w:rsidRPr="0014294F" w:rsidTr="00FF14EB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pPr>
              <w:spacing w:after="200" w:line="276" w:lineRule="auto"/>
            </w:pPr>
            <w:r>
              <w:t>CW Debug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pPr>
              <w:spacing w:after="200" w:line="276" w:lineRule="auto"/>
            </w:pPr>
            <w:r>
              <w:t>No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pPr>
              <w:spacing w:after="200" w:line="276" w:lineRule="auto"/>
            </w:pPr>
            <w:r>
              <w:t>Yes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r>
              <w:t>Yes</w:t>
            </w:r>
          </w:p>
        </w:tc>
        <w:tc>
          <w:tcPr>
            <w:tcW w:w="1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70" w:rsidRPr="0014294F" w:rsidRDefault="00B46670" w:rsidP="004A1787">
            <w:pPr>
              <w:spacing w:after="200" w:line="276" w:lineRule="auto"/>
            </w:pPr>
          </w:p>
        </w:tc>
      </w:tr>
    </w:tbl>
    <w:p w:rsidR="00D33F00" w:rsidRPr="0014294F" w:rsidRDefault="00D33F00" w:rsidP="00D33F00"/>
    <w:p w:rsidR="0014294F" w:rsidRPr="0014294F" w:rsidRDefault="00D33F00" w:rsidP="0014294F">
      <w:r>
        <w:t>Here are my notes relating to the above.</w:t>
      </w:r>
    </w:p>
    <w:p w:rsidR="0014294F" w:rsidRPr="003E79E0" w:rsidRDefault="0014294F" w:rsidP="0014294F">
      <w:pPr>
        <w:rPr>
          <w:b/>
        </w:rPr>
      </w:pPr>
      <w:r w:rsidRPr="003E79E0">
        <w:rPr>
          <w:b/>
        </w:rPr>
        <w:t>Binary creation:</w:t>
      </w:r>
    </w:p>
    <w:p w:rsidR="0014294F" w:rsidRPr="0014294F" w:rsidRDefault="0014294F" w:rsidP="0014294F">
      <w:pPr>
        <w:numPr>
          <w:ilvl w:val="0"/>
          <w:numId w:val="1"/>
        </w:numPr>
      </w:pPr>
      <w:r w:rsidRPr="0014294F">
        <w:t>MBED CMSIS-DAP has a problem with the “no flash security” setting of the FSEC configuration byte generated by Processor Expert.</w:t>
      </w:r>
    </w:p>
    <w:p w:rsidR="0014294F" w:rsidRPr="0014294F" w:rsidRDefault="0014294F" w:rsidP="0014294F">
      <w:pPr>
        <w:numPr>
          <w:ilvl w:val="0"/>
          <w:numId w:val="1"/>
        </w:numPr>
      </w:pPr>
      <w:r w:rsidRPr="0014294F">
        <w:t xml:space="preserve">After PE code generation, manually change the NV_FSEC byte in </w:t>
      </w:r>
      <w:proofErr w:type="spellStart"/>
      <w:r w:rsidRPr="0014294F">
        <w:t>CPU_Config.h</w:t>
      </w:r>
      <w:proofErr w:type="spellEnd"/>
      <w:r w:rsidRPr="0014294F">
        <w:t xml:space="preserve"> from 0x7E to 0xFE.  Repeat this whenever PE is rerun.</w:t>
      </w:r>
      <w:r w:rsidR="00D33F00">
        <w:t xml:space="preserve">  This step appears to be required only for MBED.</w:t>
      </w:r>
    </w:p>
    <w:p w:rsidR="0014294F" w:rsidRPr="0014294F" w:rsidRDefault="0014294F" w:rsidP="0014294F">
      <w:pPr>
        <w:numPr>
          <w:ilvl w:val="0"/>
          <w:numId w:val="1"/>
        </w:numPr>
      </w:pPr>
      <w:r w:rsidRPr="0014294F">
        <w:t xml:space="preserve">If CodeWarrior is configured to generate a binary file, it will have a .hex extension.  Change .hex to .bin and you can </w:t>
      </w:r>
      <w:proofErr w:type="spellStart"/>
      <w:r w:rsidRPr="0014294F">
        <w:t>drag&amp;drop</w:t>
      </w:r>
      <w:proofErr w:type="spellEnd"/>
      <w:r w:rsidRPr="0014294F">
        <w:t xml:space="preserve"> to an MBED drive</w:t>
      </w:r>
    </w:p>
    <w:p w:rsidR="0014294F" w:rsidRPr="0014294F" w:rsidRDefault="0014294F" w:rsidP="0014294F">
      <w:pPr>
        <w:numPr>
          <w:ilvl w:val="0"/>
          <w:numId w:val="1"/>
        </w:numPr>
      </w:pPr>
      <w:r w:rsidRPr="0014294F">
        <w:t xml:space="preserve">Alternately use objcopy.exe to create a binary from </w:t>
      </w:r>
      <w:proofErr w:type="gramStart"/>
      <w:r w:rsidRPr="0014294F">
        <w:t>an</w:t>
      </w:r>
      <w:proofErr w:type="gramEnd"/>
      <w:r w:rsidRPr="0014294F">
        <w:t xml:space="preserve"> </w:t>
      </w:r>
      <w:proofErr w:type="spellStart"/>
      <w:r w:rsidRPr="0014294F">
        <w:t>srecord</w:t>
      </w:r>
      <w:proofErr w:type="spellEnd"/>
      <w:r w:rsidRPr="0014294F">
        <w:t>.</w:t>
      </w:r>
    </w:p>
    <w:p w:rsidR="0014294F" w:rsidRPr="0014294F" w:rsidRDefault="0014294F" w:rsidP="003E79E0">
      <w:pPr>
        <w:numPr>
          <w:ilvl w:val="0"/>
          <w:numId w:val="1"/>
        </w:numPr>
        <w:spacing w:after="0"/>
      </w:pPr>
      <w:r w:rsidRPr="0014294F">
        <w:t>Recommended actions</w:t>
      </w:r>
      <w:r w:rsidR="003E79E0">
        <w:t xml:space="preserve"> for the </w:t>
      </w:r>
      <w:proofErr w:type="spellStart"/>
      <w:r w:rsidR="003E79E0">
        <w:t>DevTech</w:t>
      </w:r>
      <w:proofErr w:type="spellEnd"/>
      <w:r w:rsidR="003E79E0">
        <w:t xml:space="preserve"> team</w:t>
      </w:r>
      <w:r w:rsidRPr="0014294F">
        <w:t>:</w:t>
      </w:r>
    </w:p>
    <w:p w:rsidR="0014294F" w:rsidRPr="0014294F" w:rsidRDefault="0014294F" w:rsidP="003E79E0">
      <w:pPr>
        <w:numPr>
          <w:ilvl w:val="1"/>
          <w:numId w:val="1"/>
        </w:numPr>
        <w:spacing w:after="0"/>
      </w:pPr>
      <w:r w:rsidRPr="0014294F">
        <w:t>s-record or binary outputs should not be mutually exclusive</w:t>
      </w:r>
    </w:p>
    <w:p w:rsidR="00B46670" w:rsidRPr="0014294F" w:rsidRDefault="0014294F" w:rsidP="003E79E0">
      <w:pPr>
        <w:numPr>
          <w:ilvl w:val="1"/>
          <w:numId w:val="1"/>
        </w:numPr>
      </w:pPr>
      <w:r w:rsidRPr="0014294F">
        <w:t>output extensions should automatically be .s19 or .bin respectively</w:t>
      </w:r>
    </w:p>
    <w:p w:rsidR="00B46670" w:rsidRPr="003E79E0" w:rsidRDefault="00B46670" w:rsidP="00B46670">
      <w:pPr>
        <w:rPr>
          <w:b/>
        </w:rPr>
      </w:pPr>
      <w:r w:rsidRPr="003E79E0">
        <w:rPr>
          <w:b/>
        </w:rPr>
        <w:t>MBED Support:</w:t>
      </w:r>
    </w:p>
    <w:p w:rsidR="003E79E0" w:rsidRPr="0014294F" w:rsidRDefault="00B46670" w:rsidP="003E79E0">
      <w:pPr>
        <w:pStyle w:val="ListParagraph"/>
        <w:numPr>
          <w:ilvl w:val="0"/>
          <w:numId w:val="5"/>
        </w:numPr>
      </w:pPr>
      <w:r>
        <w:t xml:space="preserve">Everything works as advertised EXCEPT </w:t>
      </w:r>
      <w:r w:rsidR="003E79E0">
        <w:t>the serial port function.  This IS visible in the device manager and in the “Devices and Printers” dialog, but our Windows application is unable to connect.</w:t>
      </w:r>
    </w:p>
    <w:p w:rsidR="003E79E0" w:rsidRPr="003E79E0" w:rsidRDefault="003E79E0" w:rsidP="003E79E0">
      <w:pPr>
        <w:rPr>
          <w:b/>
        </w:rPr>
      </w:pPr>
      <w:proofErr w:type="spellStart"/>
      <w:r w:rsidRPr="003E79E0">
        <w:rPr>
          <w:b/>
        </w:rPr>
        <w:t>Segger</w:t>
      </w:r>
      <w:proofErr w:type="spellEnd"/>
      <w:r w:rsidRPr="003E79E0">
        <w:rPr>
          <w:b/>
        </w:rPr>
        <w:t xml:space="preserve"> Support:</w:t>
      </w:r>
    </w:p>
    <w:p w:rsidR="0014294F" w:rsidRDefault="003E79E0" w:rsidP="003E79E0">
      <w:pPr>
        <w:pStyle w:val="ListParagraph"/>
        <w:numPr>
          <w:ilvl w:val="0"/>
          <w:numId w:val="5"/>
        </w:numPr>
      </w:pPr>
      <w:r>
        <w:t xml:space="preserve">Works as advertised.  </w:t>
      </w:r>
    </w:p>
    <w:p w:rsidR="003E79E0" w:rsidRPr="0014294F" w:rsidRDefault="003E79E0" w:rsidP="003E79E0">
      <w:pPr>
        <w:pStyle w:val="ListParagraph"/>
        <w:numPr>
          <w:ilvl w:val="0"/>
          <w:numId w:val="5"/>
        </w:numPr>
      </w:pPr>
      <w:r>
        <w:t>I miss drag and drop support</w:t>
      </w:r>
    </w:p>
    <w:p w:rsidR="0014294F" w:rsidRPr="003E79E0" w:rsidRDefault="0014294F" w:rsidP="0014294F">
      <w:pPr>
        <w:rPr>
          <w:b/>
        </w:rPr>
      </w:pPr>
      <w:r w:rsidRPr="003E79E0">
        <w:rPr>
          <w:b/>
        </w:rPr>
        <w:lastRenderedPageBreak/>
        <w:t xml:space="preserve">P&amp;E </w:t>
      </w:r>
      <w:r w:rsidR="00B46670" w:rsidRPr="003E79E0">
        <w:rPr>
          <w:b/>
        </w:rPr>
        <w:t xml:space="preserve">V1.0 </w:t>
      </w:r>
      <w:r w:rsidRPr="003E79E0">
        <w:rPr>
          <w:b/>
        </w:rPr>
        <w:t>Support:</w:t>
      </w:r>
    </w:p>
    <w:p w:rsidR="00B46670" w:rsidRDefault="00B46670" w:rsidP="00B46670">
      <w:pPr>
        <w:pStyle w:val="ListParagraph"/>
        <w:numPr>
          <w:ilvl w:val="0"/>
          <w:numId w:val="4"/>
        </w:numPr>
      </w:pPr>
      <w:r>
        <w:t xml:space="preserve">Beautiful, easy to use.  </w:t>
      </w:r>
      <w:r w:rsidRPr="006A45F8">
        <w:rPr>
          <w:b/>
          <w:u w:val="single"/>
        </w:rPr>
        <w:t>But I can’t figure out how to replicate it on newer boards.</w:t>
      </w:r>
    </w:p>
    <w:p w:rsidR="00B46670" w:rsidRPr="003E79E0" w:rsidRDefault="00B46670" w:rsidP="00B46670">
      <w:pPr>
        <w:rPr>
          <w:b/>
        </w:rPr>
      </w:pPr>
      <w:r w:rsidRPr="003E79E0">
        <w:rPr>
          <w:b/>
        </w:rPr>
        <w:t>P&amp;E V2.0 Support:</w:t>
      </w:r>
    </w:p>
    <w:p w:rsidR="0014294F" w:rsidRPr="0014294F" w:rsidRDefault="0014294F" w:rsidP="0014294F">
      <w:pPr>
        <w:numPr>
          <w:ilvl w:val="0"/>
          <w:numId w:val="2"/>
        </w:numPr>
      </w:pPr>
      <w:r w:rsidRPr="0014294F">
        <w:t xml:space="preserve">Latest Firmware for </w:t>
      </w:r>
      <w:proofErr w:type="spellStart"/>
      <w:r w:rsidRPr="0014294F">
        <w:t>OpenSDA</w:t>
      </w:r>
      <w:proofErr w:type="spellEnd"/>
      <w:r w:rsidRPr="0014294F">
        <w:t xml:space="preserve"> is available from </w:t>
      </w:r>
      <w:hyperlink r:id="rId6" w:history="1">
        <w:r w:rsidRPr="0014294F">
          <w:rPr>
            <w:rStyle w:val="Hyperlink"/>
          </w:rPr>
          <w:t>www.pemicro.com/opensda</w:t>
        </w:r>
      </w:hyperlink>
      <w:r w:rsidRPr="0014294F">
        <w:t>.  The release is dated 26 August 2014.</w:t>
      </w:r>
    </w:p>
    <w:p w:rsidR="0014294F" w:rsidRDefault="0014294F" w:rsidP="0014294F">
      <w:pPr>
        <w:numPr>
          <w:ilvl w:val="0"/>
          <w:numId w:val="2"/>
        </w:numPr>
      </w:pPr>
      <w:r w:rsidRPr="0014294F">
        <w:t xml:space="preserve">Depending upon the board, use either DEBUG-FRDM-K64F_Pemicro_v108a_for_OpenSDA_v2.0.bin or DEBUG-FRDM-K64F_Pemicro_v108a_for_OpenSDA_v2.1.bin as your </w:t>
      </w:r>
      <w:proofErr w:type="spellStart"/>
      <w:r w:rsidRPr="0014294F">
        <w:t>OpenSDA</w:t>
      </w:r>
      <w:proofErr w:type="spellEnd"/>
      <w:r w:rsidRPr="0014294F">
        <w:t xml:space="preserve"> application</w:t>
      </w:r>
    </w:p>
    <w:p w:rsidR="00B46670" w:rsidRPr="006A45F8" w:rsidRDefault="00B46670" w:rsidP="0014294F">
      <w:pPr>
        <w:numPr>
          <w:ilvl w:val="0"/>
          <w:numId w:val="2"/>
        </w:numPr>
        <w:rPr>
          <w:b/>
        </w:rPr>
      </w:pPr>
      <w:r w:rsidRPr="006A45F8">
        <w:rPr>
          <w:b/>
        </w:rPr>
        <w:t>I have not been able to get either of the above to work properly</w:t>
      </w:r>
    </w:p>
    <w:p w:rsidR="0014294F" w:rsidRPr="0014294F" w:rsidRDefault="00B46670" w:rsidP="0014294F">
      <w:pPr>
        <w:numPr>
          <w:ilvl w:val="0"/>
          <w:numId w:val="2"/>
        </w:numPr>
      </w:pPr>
      <w:r>
        <w:rPr>
          <w:b/>
        </w:rPr>
        <w:t xml:space="preserve">According to Erich: </w:t>
      </w:r>
      <w:r w:rsidR="0014294F" w:rsidRPr="0014294F">
        <w:rPr>
          <w:b/>
        </w:rPr>
        <w:t xml:space="preserve">CodeWarrior does not support this </w:t>
      </w:r>
      <w:proofErr w:type="spellStart"/>
      <w:r w:rsidR="0014294F" w:rsidRPr="0014294F">
        <w:rPr>
          <w:b/>
        </w:rPr>
        <w:t>OpenSDA</w:t>
      </w:r>
      <w:proofErr w:type="spellEnd"/>
      <w:r w:rsidR="0014294F" w:rsidRPr="0014294F">
        <w:rPr>
          <w:b/>
        </w:rPr>
        <w:t xml:space="preserve"> for K64F</w:t>
      </w:r>
      <w:r w:rsidR="0014294F" w:rsidRPr="0014294F">
        <w:t xml:space="preserve">.  You have to use a hardware programmer to program the board, or use </w:t>
      </w:r>
      <w:proofErr w:type="spellStart"/>
      <w:r w:rsidR="0014294F" w:rsidRPr="0014294F">
        <w:t>drag&amp;drop</w:t>
      </w:r>
      <w:proofErr w:type="spellEnd"/>
      <w:r w:rsidR="0014294F" w:rsidRPr="0014294F">
        <w:t xml:space="preserve"> of .bin file</w:t>
      </w:r>
    </w:p>
    <w:p w:rsidR="003E79E0" w:rsidRDefault="003E79E0">
      <w:r>
        <w:t>With all the tool changes, we have a LOT of options to support:</w:t>
      </w:r>
    </w:p>
    <w:p w:rsidR="003E79E0" w:rsidRDefault="003E79E0">
      <w:r>
        <w:t>Base Boards:</w:t>
      </w:r>
    </w:p>
    <w:p w:rsidR="003E79E0" w:rsidRDefault="003E79E0" w:rsidP="003E79E0">
      <w:pPr>
        <w:pStyle w:val="ListParagraph"/>
        <w:numPr>
          <w:ilvl w:val="0"/>
          <w:numId w:val="6"/>
        </w:numPr>
      </w:pPr>
      <w:r>
        <w:t>KL25Z</w:t>
      </w:r>
    </w:p>
    <w:p w:rsidR="003E79E0" w:rsidRDefault="003E79E0" w:rsidP="003E79E0">
      <w:pPr>
        <w:pStyle w:val="ListParagraph"/>
        <w:numPr>
          <w:ilvl w:val="0"/>
          <w:numId w:val="6"/>
        </w:numPr>
      </w:pPr>
      <w:r>
        <w:t>KL26Z</w:t>
      </w:r>
    </w:p>
    <w:p w:rsidR="003E79E0" w:rsidRDefault="003E79E0" w:rsidP="003E79E0">
      <w:pPr>
        <w:pStyle w:val="ListParagraph"/>
        <w:numPr>
          <w:ilvl w:val="0"/>
          <w:numId w:val="6"/>
        </w:numPr>
      </w:pPr>
      <w:r>
        <w:t>KL46Z</w:t>
      </w:r>
    </w:p>
    <w:p w:rsidR="003E79E0" w:rsidRDefault="003E79E0" w:rsidP="003E79E0">
      <w:pPr>
        <w:pStyle w:val="ListParagraph"/>
        <w:numPr>
          <w:ilvl w:val="0"/>
          <w:numId w:val="6"/>
        </w:numPr>
      </w:pPr>
      <w:r>
        <w:t>K20D50M</w:t>
      </w:r>
    </w:p>
    <w:p w:rsidR="003E79E0" w:rsidRDefault="003E79E0" w:rsidP="003E79E0">
      <w:pPr>
        <w:pStyle w:val="ListParagraph"/>
        <w:numPr>
          <w:ilvl w:val="0"/>
          <w:numId w:val="6"/>
        </w:numPr>
      </w:pPr>
      <w:r>
        <w:t>K64F</w:t>
      </w:r>
    </w:p>
    <w:p w:rsidR="003E79E0" w:rsidRDefault="003E79E0" w:rsidP="003E79E0">
      <w:r>
        <w:t>Sensor Boards:</w:t>
      </w:r>
    </w:p>
    <w:p w:rsidR="003E79E0" w:rsidRDefault="003E79E0" w:rsidP="003E79E0">
      <w:pPr>
        <w:pStyle w:val="ListParagraph"/>
        <w:numPr>
          <w:ilvl w:val="0"/>
          <w:numId w:val="8"/>
        </w:numPr>
      </w:pPr>
      <w:r>
        <w:t>FRDM-FXS-9AXIS (wired only)</w:t>
      </w:r>
    </w:p>
    <w:p w:rsidR="003E79E0" w:rsidRDefault="003E79E0" w:rsidP="003E79E0">
      <w:pPr>
        <w:pStyle w:val="ListParagraph"/>
        <w:numPr>
          <w:ilvl w:val="0"/>
          <w:numId w:val="8"/>
        </w:numPr>
      </w:pPr>
      <w:r>
        <w:t>FRDM-FXS-MULTI (wired only)</w:t>
      </w:r>
    </w:p>
    <w:p w:rsidR="003E79E0" w:rsidRDefault="003E79E0" w:rsidP="003E79E0">
      <w:pPr>
        <w:pStyle w:val="ListParagraph"/>
        <w:numPr>
          <w:ilvl w:val="0"/>
          <w:numId w:val="8"/>
        </w:numPr>
      </w:pPr>
      <w:r>
        <w:t>FRDM-FXS-MULTI-B (wired OR standard Bluetooth)</w:t>
      </w:r>
    </w:p>
    <w:p w:rsidR="003E79E0" w:rsidRDefault="003E79E0" w:rsidP="003E79E0">
      <w:r>
        <w:t>Standard sensor fusion options on all of the above:</w:t>
      </w:r>
    </w:p>
    <w:p w:rsidR="003E79E0" w:rsidRDefault="003E79E0" w:rsidP="003E79E0">
      <w:pPr>
        <w:pStyle w:val="ListParagraph"/>
        <w:numPr>
          <w:ilvl w:val="0"/>
          <w:numId w:val="7"/>
        </w:numPr>
      </w:pPr>
      <w:r>
        <w:t>accelerometer only</w:t>
      </w:r>
    </w:p>
    <w:p w:rsidR="003E79E0" w:rsidRDefault="003E79E0" w:rsidP="003E79E0">
      <w:pPr>
        <w:pStyle w:val="ListParagraph"/>
        <w:numPr>
          <w:ilvl w:val="0"/>
          <w:numId w:val="7"/>
        </w:numPr>
      </w:pPr>
      <w:r>
        <w:t>2D magnetometer</w:t>
      </w:r>
    </w:p>
    <w:p w:rsidR="003E79E0" w:rsidRDefault="003E79E0" w:rsidP="003E79E0">
      <w:pPr>
        <w:pStyle w:val="ListParagraph"/>
        <w:numPr>
          <w:ilvl w:val="0"/>
          <w:numId w:val="7"/>
        </w:numPr>
      </w:pPr>
      <w:r>
        <w:t>gyro only</w:t>
      </w:r>
    </w:p>
    <w:p w:rsidR="003E79E0" w:rsidRDefault="003E79E0" w:rsidP="003E79E0">
      <w:pPr>
        <w:pStyle w:val="ListParagraph"/>
        <w:numPr>
          <w:ilvl w:val="0"/>
          <w:numId w:val="7"/>
        </w:numPr>
      </w:pPr>
      <w:r>
        <w:t>accel + mag (</w:t>
      </w:r>
      <w:proofErr w:type="spellStart"/>
      <w:r>
        <w:t>eCompass</w:t>
      </w:r>
      <w:proofErr w:type="spellEnd"/>
      <w:r>
        <w:t>)</w:t>
      </w:r>
    </w:p>
    <w:p w:rsidR="003E79E0" w:rsidRDefault="003E79E0" w:rsidP="003E79E0">
      <w:pPr>
        <w:pStyle w:val="ListParagraph"/>
        <w:numPr>
          <w:ilvl w:val="0"/>
          <w:numId w:val="7"/>
        </w:numPr>
      </w:pPr>
      <w:r>
        <w:t>accel + mag (Kalman Filter)</w:t>
      </w:r>
    </w:p>
    <w:p w:rsidR="003E79E0" w:rsidRDefault="003E79E0" w:rsidP="003E79E0">
      <w:pPr>
        <w:pStyle w:val="ListParagraph"/>
        <w:numPr>
          <w:ilvl w:val="0"/>
          <w:numId w:val="7"/>
        </w:numPr>
      </w:pPr>
      <w:r>
        <w:t>9-axis Kalman filter</w:t>
      </w:r>
    </w:p>
    <w:p w:rsidR="003E79E0" w:rsidRDefault="003E79E0" w:rsidP="003E79E0">
      <w:r>
        <w:t xml:space="preserve">In addition, for the KL46Z only, we have an additional bare-metal </w:t>
      </w:r>
      <w:proofErr w:type="spellStart"/>
      <w:r>
        <w:t>eCompass</w:t>
      </w:r>
      <w:proofErr w:type="spellEnd"/>
      <w:r>
        <w:t xml:space="preserve"> which does not use MQXLITE.</w:t>
      </w:r>
    </w:p>
    <w:p w:rsidR="003E79E0" w:rsidRDefault="003E79E0" w:rsidP="003E79E0">
      <w:r>
        <w:lastRenderedPageBreak/>
        <w:t xml:space="preserve">With this release, we are supplying both CodeWarrior and KDS projects AND moving beyond P&amp;E </w:t>
      </w:r>
      <w:proofErr w:type="spellStart"/>
      <w:r>
        <w:t>OpenSDA</w:t>
      </w:r>
      <w:proofErr w:type="spellEnd"/>
      <w:r>
        <w:t xml:space="preserve"> V1.0 to various debug options outlined above for K64F.</w:t>
      </w:r>
    </w:p>
    <w:p w:rsidR="00602D33" w:rsidRDefault="00602D33"/>
    <w:p w:rsidR="00602D33" w:rsidRDefault="00602D33"/>
    <w:sectPr w:rsidR="00602D33" w:rsidSect="0048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745"/>
    <w:multiLevelType w:val="hybridMultilevel"/>
    <w:tmpl w:val="9BE4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F50CD"/>
    <w:multiLevelType w:val="hybridMultilevel"/>
    <w:tmpl w:val="34D4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06647"/>
    <w:multiLevelType w:val="hybridMultilevel"/>
    <w:tmpl w:val="E94E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475FC"/>
    <w:multiLevelType w:val="hybridMultilevel"/>
    <w:tmpl w:val="1BD6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77247"/>
    <w:multiLevelType w:val="hybridMultilevel"/>
    <w:tmpl w:val="AD04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2E3235"/>
    <w:multiLevelType w:val="hybridMultilevel"/>
    <w:tmpl w:val="F2D0A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553216"/>
    <w:multiLevelType w:val="hybridMultilevel"/>
    <w:tmpl w:val="6B12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4294F"/>
    <w:rsid w:val="00126498"/>
    <w:rsid w:val="0014294F"/>
    <w:rsid w:val="001D30CC"/>
    <w:rsid w:val="003E79E0"/>
    <w:rsid w:val="0048585C"/>
    <w:rsid w:val="00571F40"/>
    <w:rsid w:val="00597BF4"/>
    <w:rsid w:val="00602D33"/>
    <w:rsid w:val="006A45F8"/>
    <w:rsid w:val="007E3944"/>
    <w:rsid w:val="00806EFB"/>
    <w:rsid w:val="00B46670"/>
    <w:rsid w:val="00BA69C1"/>
    <w:rsid w:val="00D33F00"/>
    <w:rsid w:val="00DA1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29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6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emicro.com/opens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25BDA-4754-4761-9F83-D86396CB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RMPE01</dc:creator>
  <cp:lastModifiedBy>RMPE01</cp:lastModifiedBy>
  <cp:revision>4</cp:revision>
  <dcterms:created xsi:type="dcterms:W3CDTF">2014-08-27T21:09:00Z</dcterms:created>
  <dcterms:modified xsi:type="dcterms:W3CDTF">2014-08-28T01:04:00Z</dcterms:modified>
</cp:coreProperties>
</file>