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rsidR="007525D4" w:rsidRPr="00D82BC1" w:rsidRDefault="00D8125C" w:rsidP="002C4FFC">
      <w:pPr>
        <w:pStyle w:val="GP-1"/>
        <w:spacing w:before="120" w:after="120"/>
      </w:pPr>
      <w:r>
        <w:rPr>
          <w:rFonts w:hint="eastAsia"/>
        </w:rPr>
        <w:t>基于</w:t>
      </w:r>
      <w:r w:rsidRPr="00D8125C">
        <w:rPr>
          <w:rFonts w:hint="eastAsia"/>
        </w:rPr>
        <w:t>试验与数值模拟结果</w:t>
      </w:r>
      <w:r>
        <w:rPr>
          <w:rFonts w:hint="eastAsia"/>
        </w:rPr>
        <w:t>的砼木混合建筑连接研究</w:t>
      </w:r>
    </w:p>
    <w:p w:rsidR="007525D4" w:rsidRDefault="00D8125C" w:rsidP="002C635D">
      <w:pPr>
        <w:pStyle w:val="GP-8"/>
        <w:rPr>
          <w:rFonts w:hint="eastAsia"/>
        </w:rPr>
      </w:pPr>
      <w:r>
        <w:rPr>
          <w:rFonts w:hint="eastAsia"/>
        </w:rPr>
        <w:t>Hiroshi</w:t>
      </w:r>
      <w:r>
        <w:t xml:space="preserve"> </w:t>
      </w:r>
      <w:proofErr w:type="spellStart"/>
      <w:r>
        <w:rPr>
          <w:rFonts w:hint="eastAsia"/>
        </w:rPr>
        <w:t>Isoda,M.ASCE;and</w:t>
      </w:r>
      <w:proofErr w:type="spellEnd"/>
      <w:r>
        <w:rPr>
          <w:rFonts w:hint="eastAsia"/>
        </w:rPr>
        <w:t xml:space="preserve"> Solomon </w:t>
      </w:r>
      <w:proofErr w:type="spellStart"/>
      <w:r>
        <w:rPr>
          <w:rFonts w:hint="eastAsia"/>
        </w:rPr>
        <w:t>Tesfamariam,</w:t>
      </w:r>
      <w:r>
        <w:t>M.ASCE</w:t>
      </w:r>
      <w:proofErr w:type="spellEnd"/>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D8125C" w:rsidP="005D52A5">
      <w:pPr>
        <w:pStyle w:val="GP-8"/>
      </w:pPr>
      <w:r>
        <w:rPr>
          <w:rFonts w:hint="eastAsia"/>
        </w:rPr>
        <w:t>摘要</w:t>
      </w:r>
    </w:p>
    <w:p w:rsidR="001B0039" w:rsidRPr="001B0039" w:rsidRDefault="00D8125C" w:rsidP="004F1ED7">
      <w:pPr>
        <w:pStyle w:val="GP-4"/>
        <w:rPr>
          <w:rFonts w:hint="eastAsia"/>
        </w:rPr>
      </w:pPr>
      <w:r>
        <w:rPr>
          <w:rFonts w:hint="eastAsia"/>
        </w:rPr>
        <w:t>在地震活跃地区，</w:t>
      </w:r>
      <w:r w:rsidR="00117BF5">
        <w:rPr>
          <w:rFonts w:hint="eastAsia"/>
        </w:rPr>
        <w:t>使用混凝土与木结构建造的混合结构房屋能够有效避免仅使用木结构面临</w:t>
      </w:r>
      <w:r w:rsidR="00BF554A">
        <w:rPr>
          <w:rFonts w:hint="eastAsia"/>
        </w:rPr>
        <w:t>的限制。本文调查了三种在</w:t>
      </w:r>
      <w:r>
        <w:rPr>
          <w:rFonts w:hint="eastAsia"/>
        </w:rPr>
        <w:t>砼木混合结构建筑</w:t>
      </w:r>
      <w:r w:rsidR="00BF554A">
        <w:rPr>
          <w:rFonts w:hint="eastAsia"/>
        </w:rPr>
        <w:t>中使用到的</w:t>
      </w:r>
      <w:r>
        <w:rPr>
          <w:rFonts w:hint="eastAsia"/>
        </w:rPr>
        <w:t>的连接：</w:t>
      </w:r>
      <w:r w:rsidR="000D67E8">
        <w:rPr>
          <w:rFonts w:hint="eastAsia"/>
        </w:rPr>
        <w:t>(</w:t>
      </w:r>
      <w:r w:rsidR="000D67E8">
        <w:t>1</w:t>
      </w:r>
      <w:r w:rsidR="000D67E8">
        <w:rPr>
          <w:rFonts w:hint="eastAsia"/>
        </w:rPr>
        <w:t>)</w:t>
      </w:r>
      <w:r w:rsidR="000D67E8">
        <w:t xml:space="preserve"> </w:t>
      </w:r>
      <w:r w:rsidR="000D67E8">
        <w:t>木</w:t>
      </w:r>
      <w:r w:rsidR="000D67E8">
        <w:rPr>
          <w:rFonts w:hint="eastAsia"/>
        </w:rPr>
        <w:t>柱</w:t>
      </w:r>
      <w:r w:rsidR="000D67E8">
        <w:rPr>
          <w:rFonts w:hint="eastAsia"/>
        </w:rPr>
        <w:t>-</w:t>
      </w:r>
      <w:proofErr w:type="spellStart"/>
      <w:r w:rsidR="000D67E8">
        <w:t>柱基连接</w:t>
      </w:r>
      <w:proofErr w:type="spellEnd"/>
      <w:r w:rsidR="000D67E8">
        <w:t>，（</w:t>
      </w:r>
      <w:r w:rsidR="000D67E8">
        <w:t>2</w:t>
      </w:r>
      <w:r w:rsidR="000D67E8">
        <w:t>）</w:t>
      </w:r>
      <w:r w:rsidR="000D67E8">
        <w:rPr>
          <w:rFonts w:hint="eastAsia"/>
        </w:rPr>
        <w:t>混凝土墙</w:t>
      </w:r>
      <w:r w:rsidR="000D67E8">
        <w:rPr>
          <w:rFonts w:hint="eastAsia"/>
        </w:rPr>
        <w:t>-</w:t>
      </w:r>
      <w:proofErr w:type="spellStart"/>
      <w:r w:rsidR="000D67E8">
        <w:rPr>
          <w:rFonts w:hint="eastAsia"/>
        </w:rPr>
        <w:t>木梁连接</w:t>
      </w:r>
      <w:proofErr w:type="spellEnd"/>
      <w:r w:rsidR="000D67E8">
        <w:rPr>
          <w:rFonts w:hint="eastAsia"/>
        </w:rPr>
        <w:t>，</w:t>
      </w:r>
      <w:r w:rsidR="000D67E8">
        <w:rPr>
          <w:rFonts w:hint="eastAsia"/>
        </w:rPr>
        <w:t>(</w:t>
      </w:r>
      <w:r w:rsidR="000D67E8">
        <w:t>3</w:t>
      </w:r>
      <w:r w:rsidR="000D67E8">
        <w:rPr>
          <w:rFonts w:hint="eastAsia"/>
        </w:rPr>
        <w:t>)</w:t>
      </w:r>
      <w:r w:rsidR="000D67E8">
        <w:t xml:space="preserve"> </w:t>
      </w:r>
      <w:r w:rsidR="000D67E8">
        <w:rPr>
          <w:rFonts w:hint="eastAsia"/>
        </w:rPr>
        <w:t>木梁</w:t>
      </w:r>
      <w:r w:rsidR="000D67E8">
        <w:rPr>
          <w:rFonts w:hint="eastAsia"/>
        </w:rPr>
        <w:t>-</w:t>
      </w:r>
      <w:proofErr w:type="spellStart"/>
      <w:r w:rsidR="000D67E8">
        <w:rPr>
          <w:rFonts w:hint="eastAsia"/>
        </w:rPr>
        <w:t>木柱连接</w:t>
      </w:r>
      <w:r w:rsidR="00BF554A">
        <w:rPr>
          <w:rFonts w:hint="eastAsia"/>
        </w:rPr>
        <w:t>。针对这三种连接进行了一系列的单调加载和循环加载试验。通过单调加载试验计算出连接的不同性能指标</w:t>
      </w:r>
      <w:proofErr w:type="spellEnd"/>
      <w:r w:rsidR="00474797">
        <w:rPr>
          <w:rFonts w:hint="eastAsia"/>
        </w:rPr>
        <w:t>(</w:t>
      </w:r>
      <w:proofErr w:type="spellStart"/>
      <w:r w:rsidR="00474797">
        <w:rPr>
          <w:rFonts w:hint="eastAsia"/>
        </w:rPr>
        <w:t>例如：刚度、延性和能量耗散</w:t>
      </w:r>
      <w:proofErr w:type="spellEnd"/>
      <w:r w:rsidR="00474797">
        <w:rPr>
          <w:rFonts w:hint="eastAsia"/>
        </w:rPr>
        <w:t>)</w:t>
      </w:r>
      <w:proofErr w:type="spellStart"/>
      <w:r w:rsidR="00BF554A">
        <w:rPr>
          <w:rFonts w:hint="eastAsia"/>
        </w:rPr>
        <w:t>并将其用于</w:t>
      </w:r>
      <w:r w:rsidR="00474797">
        <w:rPr>
          <w:rFonts w:hint="eastAsia"/>
        </w:rPr>
        <w:t>设置</w:t>
      </w:r>
      <w:bookmarkStart w:id="0" w:name="OLE_LINK1"/>
      <w:bookmarkStart w:id="1" w:name="OLE_LINK2"/>
      <w:proofErr w:type="spellEnd"/>
      <w:r w:rsidR="00474797">
        <w:rPr>
          <w:rFonts w:hint="eastAsia"/>
        </w:rPr>
        <w:t>Pingchi</w:t>
      </w:r>
      <w:r w:rsidR="00474797">
        <w:t>ng4</w:t>
      </w:r>
      <w:r w:rsidR="00474797">
        <w:rPr>
          <w:rFonts w:hint="eastAsia"/>
        </w:rPr>
        <w:t>滞回模型</w:t>
      </w:r>
      <w:bookmarkEnd w:id="0"/>
      <w:bookmarkEnd w:id="1"/>
      <w:r w:rsidR="00474797">
        <w:rPr>
          <w:rFonts w:hint="eastAsia"/>
        </w:rPr>
        <w:t>的主要曲线。</w:t>
      </w:r>
      <w:r w:rsidR="003915A3">
        <w:rPr>
          <w:rFonts w:hint="eastAsia"/>
        </w:rPr>
        <w:t>此外，</w:t>
      </w:r>
      <w:r w:rsidR="005A0D5A">
        <w:rPr>
          <w:rFonts w:hint="eastAsia"/>
        </w:rPr>
        <w:t>通过循环加载测试结果对</w:t>
      </w:r>
      <w:r w:rsidR="005A0D5A">
        <w:rPr>
          <w:rFonts w:hint="eastAsia"/>
        </w:rPr>
        <w:t>Pingchi</w:t>
      </w:r>
      <w:r w:rsidR="005A0D5A">
        <w:t>ng4</w:t>
      </w:r>
      <w:r w:rsidR="005A0D5A">
        <w:rPr>
          <w:rFonts w:hint="eastAsia"/>
        </w:rPr>
        <w:t>滞回模型</w:t>
      </w:r>
      <w:r w:rsidR="00AD0E9C">
        <w:rPr>
          <w:rFonts w:hint="eastAsia"/>
        </w:rPr>
        <w:t>进行校正</w:t>
      </w:r>
      <w:bookmarkStart w:id="2" w:name="_GoBack"/>
      <w:bookmarkEnd w:id="2"/>
      <w:r w:rsidR="005A0D5A">
        <w:rPr>
          <w:rFonts w:hint="eastAsia"/>
        </w:rPr>
        <w:t>。</w:t>
      </w:r>
      <w:r w:rsidR="005A0D5A">
        <w:rPr>
          <w:rFonts w:hint="eastAsia"/>
          <w:kern w:val="0"/>
        </w:rPr>
        <w:t>Pingching4</w:t>
      </w:r>
      <w:r w:rsidR="005A0D5A">
        <w:rPr>
          <w:rFonts w:hint="eastAsia"/>
          <w:kern w:val="0"/>
        </w:rPr>
        <w:t>滞回模型</w:t>
      </w:r>
      <w:r w:rsidR="005A0D5A">
        <w:rPr>
          <w:rFonts w:hint="eastAsia"/>
          <w:kern w:val="0"/>
        </w:rPr>
        <w:t>的作用会在</w:t>
      </w:r>
      <w:r w:rsidR="00BE0AEC">
        <w:rPr>
          <w:rFonts w:hint="eastAsia"/>
          <w:kern w:val="0"/>
        </w:rPr>
        <w:t>门式框</w:t>
      </w:r>
      <w:r w:rsidR="005A0D5A">
        <w:rPr>
          <w:rFonts w:hint="eastAsia"/>
          <w:kern w:val="0"/>
        </w:rPr>
        <w:t>架性能预测中显示出来</w:t>
      </w:r>
      <w:r w:rsidR="00BE0AEC">
        <w:rPr>
          <w:rFonts w:hint="eastAsia"/>
          <w:kern w:val="0"/>
        </w:rPr>
        <w:t>。门式框架的结果非常完美的介于使用</w:t>
      </w:r>
      <w:r w:rsidR="00BE0AEC">
        <w:rPr>
          <w:rFonts w:hint="eastAsia"/>
          <w:kern w:val="0"/>
        </w:rPr>
        <w:t>Pingching4</w:t>
      </w:r>
      <w:r w:rsidR="00BE0AEC">
        <w:rPr>
          <w:rFonts w:hint="eastAsia"/>
          <w:kern w:val="0"/>
        </w:rPr>
        <w:t>滞回模型</w:t>
      </w:r>
      <w:r w:rsidR="00BE0AEC">
        <w:rPr>
          <w:rFonts w:hint="eastAsia"/>
          <w:kern w:val="0"/>
        </w:rPr>
        <w:t>校核过的有限元模型和实验测试结果之间</w:t>
      </w:r>
      <w:r w:rsidR="004F1ED7">
        <w:rPr>
          <w:rFonts w:hint="eastAsia"/>
          <w:kern w:val="0"/>
        </w:rPr>
        <w:t>。</w:t>
      </w:r>
    </w:p>
    <w:p w:rsidR="007525D4" w:rsidRPr="00C11BD8" w:rsidRDefault="00D8125C" w:rsidP="0057344F">
      <w:pPr>
        <w:spacing w:line="360" w:lineRule="exact"/>
        <w:ind w:firstLineChars="200" w:firstLine="420"/>
        <w:jc w:val="left"/>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9" type="#_x0000_t62" style="position:absolute;left:0;text-align:left;margin-left:132pt;margin-top:.75pt;width:81pt;height:20.8pt;rotation:180;z-index:251662336" adj="39200,15992" strokecolor="#0070c0">
            <v:textbox style="mso-next-textbox:#_x0000_s1029">
              <w:txbxContent>
                <w:p w:rsidR="00D8125C" w:rsidRPr="002412F0" w:rsidRDefault="00D8125C"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D8125C" w:rsidP="0057344F">
      <w:pPr>
        <w:spacing w:line="360" w:lineRule="exact"/>
        <w:jc w:val="left"/>
        <w:rPr>
          <w:rFonts w:hint="eastAsia"/>
        </w:rPr>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D8125C" w:rsidRPr="002412F0" w:rsidRDefault="00D8125C"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4F1ED7">
        <w:rPr>
          <w:rFonts w:hAnsi="宋体" w:hint="eastAsia"/>
        </w:rPr>
        <w:t>木建筑，混合结构，连接，模型</w:t>
      </w:r>
    </w:p>
    <w:p w:rsidR="007525D4" w:rsidRPr="00CC3AF6" w:rsidRDefault="007525D4" w:rsidP="0057344F">
      <w:pPr>
        <w:spacing w:line="360" w:lineRule="exact"/>
        <w:jc w:val="left"/>
        <w:rPr>
          <w:sz w:val="18"/>
          <w:szCs w:val="18"/>
        </w:rPr>
      </w:pPr>
    </w:p>
    <w:p w:rsidR="007525D4" w:rsidRDefault="00D8125C"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D8125C" w:rsidRPr="002412F0" w:rsidRDefault="00D8125C"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D8125C"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D8125C" w:rsidRPr="002412F0" w:rsidRDefault="00D8125C"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4F1ED7">
      <w:pPr>
        <w:pStyle w:val="GP-8"/>
        <w:jc w:val="both"/>
        <w:rPr>
          <w:rFonts w:hint="eastAsia"/>
          <w:sz w:val="18"/>
          <w:szCs w:val="18"/>
        </w:rPr>
      </w:pPr>
    </w:p>
    <w:p w:rsidR="007525D4" w:rsidRPr="004F1ED7" w:rsidRDefault="004F1ED7" w:rsidP="004F1ED7">
      <w:pPr>
        <w:pStyle w:val="GP-10"/>
      </w:pPr>
      <w:r w:rsidRPr="004F1ED7">
        <w:rPr>
          <w:rFonts w:hint="eastAsia"/>
          <w:lang w:eastAsia="zh-CN"/>
        </w:rPr>
        <w:lastRenderedPageBreak/>
        <w:t>介绍</w:t>
      </w:r>
    </w:p>
    <w:p w:rsidR="007525D4" w:rsidRDefault="005C2444" w:rsidP="004F1ED7">
      <w:pPr>
        <w:pStyle w:val="GP-4"/>
      </w:pPr>
      <w:r>
        <w:rPr>
          <w:noProof/>
        </w:rPr>
        <w:drawing>
          <wp:anchor distT="0" distB="0" distL="114300" distR="114300" simplePos="0" relativeHeight="251703296" behindDoc="0" locked="0" layoutInCell="1" allowOverlap="1">
            <wp:simplePos x="0" y="0"/>
            <wp:positionH relativeFrom="margin">
              <wp:align>center</wp:align>
            </wp:positionH>
            <wp:positionV relativeFrom="paragraph">
              <wp:posOffset>1717675</wp:posOffset>
            </wp:positionV>
            <wp:extent cx="4000500" cy="26441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0" cy="2644140"/>
                    </a:xfrm>
                    <a:prstGeom prst="rect">
                      <a:avLst/>
                    </a:prstGeom>
                  </pic:spPr>
                </pic:pic>
              </a:graphicData>
            </a:graphic>
            <wp14:sizeRelH relativeFrom="margin">
              <wp14:pctWidth>0</wp14:pctWidth>
            </wp14:sizeRelH>
            <wp14:sizeRelV relativeFrom="margin">
              <wp14:pctHeight>0</wp14:pctHeight>
            </wp14:sizeRelV>
          </wp:anchor>
        </w:drawing>
      </w:r>
      <w:r w:rsidR="004F1ED7">
        <w:rPr>
          <w:rFonts w:hint="eastAsia"/>
        </w:rPr>
        <w:t>日本政府</w:t>
      </w:r>
      <w:r w:rsidR="004F1ED7">
        <w:rPr>
          <w:rFonts w:hint="eastAsia"/>
        </w:rPr>
        <w:t>2010</w:t>
      </w:r>
      <w:r w:rsidR="004F1ED7">
        <w:rPr>
          <w:rFonts w:hint="eastAsia"/>
        </w:rPr>
        <w:t>年通过了一项法案推广低层木结构公共建</w:t>
      </w:r>
      <w:r w:rsidR="004F1ED7">
        <w:rPr>
          <w:rFonts w:hint="eastAsia"/>
        </w:rPr>
        <w:t>[</w:t>
      </w:r>
      <w:r w:rsidR="004F1ED7">
        <w:t>1</w:t>
      </w:r>
      <w:r w:rsidR="004F1ED7">
        <w:rPr>
          <w:rFonts w:hint="eastAsia"/>
        </w:rPr>
        <w:t>]</w:t>
      </w:r>
      <w:r w:rsidR="004F1ED7">
        <w:rPr>
          <w:rFonts w:hint="eastAsia"/>
        </w:rPr>
        <w:t>，</w:t>
      </w:r>
      <w:proofErr w:type="spellStart"/>
      <w:r w:rsidR="00CA5ACD">
        <w:rPr>
          <w:rFonts w:hint="eastAsia"/>
        </w:rPr>
        <w:t>该法案面向的公共建筑包括办公楼、教育机构</w:t>
      </w:r>
      <w:proofErr w:type="spellEnd"/>
      <w:r w:rsidR="00CA5ACD">
        <w:rPr>
          <w:rFonts w:hint="eastAsia"/>
        </w:rPr>
        <w:t>(</w:t>
      </w:r>
      <w:proofErr w:type="spellStart"/>
      <w:r w:rsidR="00CA5ACD">
        <w:rPr>
          <w:rFonts w:hint="eastAsia"/>
        </w:rPr>
        <w:t>如学校</w:t>
      </w:r>
      <w:proofErr w:type="spellEnd"/>
      <w:r w:rsidR="00CA5ACD">
        <w:rPr>
          <w:rFonts w:hint="eastAsia"/>
        </w:rPr>
        <w:t>)</w:t>
      </w:r>
      <w:r w:rsidR="00CA5ACD">
        <w:rPr>
          <w:rFonts w:hint="eastAsia"/>
        </w:rPr>
        <w:t>、</w:t>
      </w:r>
      <w:proofErr w:type="spellStart"/>
      <w:r w:rsidR="00CA5ACD">
        <w:rPr>
          <w:rFonts w:hint="eastAsia"/>
        </w:rPr>
        <w:t>运动场馆</w:t>
      </w:r>
      <w:proofErr w:type="spellEnd"/>
      <w:r w:rsidR="00CA5ACD">
        <w:rPr>
          <w:rFonts w:hint="eastAsia"/>
        </w:rPr>
        <w:t>(</w:t>
      </w:r>
      <w:proofErr w:type="spellStart"/>
      <w:r w:rsidR="00CA5ACD">
        <w:rPr>
          <w:rFonts w:hint="eastAsia"/>
        </w:rPr>
        <w:t>如体育馆</w:t>
      </w:r>
      <w:proofErr w:type="spellEnd"/>
      <w:r w:rsidR="00CA5ACD">
        <w:rPr>
          <w:rFonts w:hint="eastAsia"/>
        </w:rPr>
        <w:t>)</w:t>
      </w:r>
      <w:proofErr w:type="spellStart"/>
      <w:r w:rsidR="00CA5ACD">
        <w:rPr>
          <w:rFonts w:hint="eastAsia"/>
        </w:rPr>
        <w:t>和社会教育设施</w:t>
      </w:r>
      <w:proofErr w:type="spellEnd"/>
      <w:r w:rsidR="00CA5ACD">
        <w:rPr>
          <w:rFonts w:hint="eastAsia"/>
        </w:rPr>
        <w:t>(</w:t>
      </w:r>
      <w:proofErr w:type="spellStart"/>
      <w:r w:rsidR="00CA5ACD">
        <w:rPr>
          <w:rFonts w:hint="eastAsia"/>
        </w:rPr>
        <w:t>如图书馆</w:t>
      </w:r>
      <w:proofErr w:type="spellEnd"/>
      <w:r w:rsidR="00CA5ACD">
        <w:rPr>
          <w:rFonts w:hint="eastAsia"/>
        </w:rPr>
        <w:t>)</w:t>
      </w:r>
      <w:r w:rsidR="00CA5ACD">
        <w:rPr>
          <w:rFonts w:hint="eastAsia"/>
        </w:rPr>
        <w:t>。通过一些大规模的振动台试验</w:t>
      </w:r>
      <w:r w:rsidR="00CA5ACD">
        <w:rPr>
          <w:rFonts w:hint="eastAsia"/>
        </w:rPr>
        <w:t>[</w:t>
      </w:r>
      <w:r w:rsidR="00CA5ACD">
        <w:t>2</w:t>
      </w:r>
      <w:r w:rsidR="00CA5ACD">
        <w:rPr>
          <w:rFonts w:hint="eastAsia"/>
        </w:rPr>
        <w:t>]</w:t>
      </w:r>
      <w:r w:rsidR="00CA5ACD">
        <w:rPr>
          <w:rFonts w:hint="eastAsia"/>
        </w:rPr>
        <w:t>，中高层木结构的抗震性能被视为是可以接受的。即使如此，</w:t>
      </w:r>
      <w:r w:rsidR="00CA5ACD">
        <w:rPr>
          <w:rFonts w:hint="eastAsia"/>
        </w:rPr>
        <w:t>因为日本的高地震风险</w:t>
      </w:r>
      <w:r w:rsidR="00CA5ACD">
        <w:rPr>
          <w:rFonts w:hint="eastAsia"/>
        </w:rPr>
        <w:t>，中高层木结构建筑在当前的日本建筑法规中仍然是禁止使用的。在</w:t>
      </w:r>
      <w:r w:rsidR="00CA5ACD">
        <w:rPr>
          <w:rFonts w:hint="eastAsia"/>
        </w:rPr>
        <w:t>1999</w:t>
      </w:r>
      <w:r w:rsidR="00CA5ACD">
        <w:rPr>
          <w:rFonts w:hint="eastAsia"/>
        </w:rPr>
        <w:t>年，日本</w:t>
      </w:r>
      <w:r>
        <w:rPr>
          <w:rFonts w:hint="eastAsia"/>
        </w:rPr>
        <w:t>启动</w:t>
      </w:r>
      <w:r w:rsidR="00CA5ACD">
        <w:rPr>
          <w:rFonts w:hint="eastAsia"/>
        </w:rPr>
        <w:t>了一个长达五年的国家级研究项目以探寻各种各样以木结构为基础的</w:t>
      </w:r>
      <w:r>
        <w:rPr>
          <w:rFonts w:hint="eastAsia"/>
        </w:rPr>
        <w:t>混合结构体系，其中被考虑到的结构形式之一便是使用带有混凝土剪力墙的木框架结构。图</w:t>
      </w:r>
      <w:r>
        <w:rPr>
          <w:rFonts w:hint="eastAsia"/>
        </w:rPr>
        <w:t>1</w:t>
      </w:r>
      <w:r>
        <w:rPr>
          <w:rFonts w:hint="eastAsia"/>
        </w:rPr>
        <w:t>展示的便是在位于日本大阪的</w:t>
      </w:r>
      <w:r>
        <w:rPr>
          <w:rFonts w:hint="eastAsia"/>
        </w:rPr>
        <w:t>砼木混合建筑</w:t>
      </w:r>
      <w:r>
        <w:rPr>
          <w:rFonts w:hint="eastAsia"/>
        </w:rPr>
        <w:t>。</w:t>
      </w:r>
    </w:p>
    <w:p w:rsidR="005C2444" w:rsidRDefault="005C2444" w:rsidP="005C2444">
      <w:pPr>
        <w:pStyle w:val="GP-f9"/>
        <w:rPr>
          <w:rFonts w:hint="eastAsia"/>
        </w:rPr>
      </w:pPr>
      <w:r>
        <w:rPr>
          <w:rFonts w:hint="eastAsia"/>
        </w:rPr>
        <w:t>图</w:t>
      </w:r>
      <w:r>
        <w:rPr>
          <w:rFonts w:hint="eastAsia"/>
        </w:rPr>
        <w:t>1</w:t>
      </w:r>
      <w:r>
        <w:t xml:space="preserve"> </w:t>
      </w:r>
      <w:r>
        <w:rPr>
          <w:rFonts w:hint="eastAsia"/>
        </w:rPr>
        <w:t>木框架</w:t>
      </w:r>
      <w:r>
        <w:rPr>
          <w:rFonts w:hint="eastAsia"/>
        </w:rPr>
        <w:t>-</w:t>
      </w:r>
      <w:r>
        <w:rPr>
          <w:rFonts w:hint="eastAsia"/>
        </w:rPr>
        <w:t>混凝土剪力墙混合体系</w:t>
      </w:r>
    </w:p>
    <w:p w:rsidR="007525D4" w:rsidRPr="000D67E8" w:rsidRDefault="00EE763E" w:rsidP="000D67E8">
      <w:pPr>
        <w:pStyle w:val="GP-4"/>
      </w:pPr>
      <w:r>
        <w:rPr>
          <w:rFonts w:hint="eastAsia"/>
          <w:lang w:val="en-US"/>
        </w:rPr>
        <w:t>在</w:t>
      </w:r>
      <w:r>
        <w:rPr>
          <w:rFonts w:hint="eastAsia"/>
          <w:lang w:val="en-US"/>
        </w:rPr>
        <w:t>2014</w:t>
      </w:r>
      <w:r>
        <w:rPr>
          <w:rFonts w:hint="eastAsia"/>
          <w:lang w:val="en-US"/>
        </w:rPr>
        <w:t>，</w:t>
      </w:r>
      <w:r>
        <w:rPr>
          <w:rFonts w:hint="eastAsia"/>
          <w:lang w:val="en-US"/>
        </w:rPr>
        <w:t>2015</w:t>
      </w:r>
      <w:r>
        <w:rPr>
          <w:rFonts w:hint="eastAsia"/>
          <w:lang w:val="en-US"/>
        </w:rPr>
        <w:t>年</w:t>
      </w:r>
      <w:r w:rsidR="005C2444">
        <w:rPr>
          <w:rFonts w:hint="eastAsia"/>
        </w:rPr>
        <w:t>井</w:t>
      </w:r>
      <w:r>
        <w:rPr>
          <w:rFonts w:hint="eastAsia"/>
        </w:rPr>
        <w:t>向田</w:t>
      </w:r>
      <w:r w:rsidR="005C2444">
        <w:t>等人</w:t>
      </w:r>
      <w:r>
        <w:rPr>
          <w:rFonts w:hint="eastAsia"/>
        </w:rPr>
        <w:t>[</w:t>
      </w:r>
      <w:r>
        <w:t>3</w:t>
      </w:r>
      <w:r>
        <w:rPr>
          <w:rFonts w:hint="eastAsia"/>
        </w:rPr>
        <w:t>]</w:t>
      </w:r>
      <w:proofErr w:type="spellStart"/>
      <w:r w:rsidR="005C2444">
        <w:t>报告了</w:t>
      </w:r>
      <w:r>
        <w:rPr>
          <w:rFonts w:hint="eastAsia"/>
        </w:rPr>
        <w:t>砼木混合</w:t>
      </w:r>
      <w:r w:rsidRPr="00EE763E">
        <w:t>建筑物</w:t>
      </w:r>
      <w:r w:rsidR="005C2444">
        <w:t>振动台试验的结果</w:t>
      </w:r>
      <w:proofErr w:type="spellEnd"/>
      <w:r>
        <w:rPr>
          <w:rFonts w:hint="eastAsia"/>
        </w:rPr>
        <w:t>(</w:t>
      </w:r>
      <w:r w:rsidR="005C2444">
        <w:t>图</w:t>
      </w:r>
      <w:r w:rsidR="005C2444">
        <w:t>2</w:t>
      </w:r>
      <w:r>
        <w:t>)</w:t>
      </w:r>
      <w:r w:rsidR="005C2444">
        <w:t>。</w:t>
      </w:r>
      <w:r>
        <w:rPr>
          <w:rFonts w:hint="eastAsia"/>
        </w:rPr>
        <w:t>2015</w:t>
      </w:r>
      <w:r>
        <w:rPr>
          <w:rFonts w:hint="eastAsia"/>
        </w:rPr>
        <w:t>年</w:t>
      </w:r>
      <w:r w:rsidR="005C2444">
        <w:t xml:space="preserve"> </w:t>
      </w:r>
      <w:r>
        <w:rPr>
          <w:rFonts w:hint="eastAsia"/>
        </w:rPr>
        <w:t>井向田</w:t>
      </w:r>
      <w:r w:rsidR="005C2444">
        <w:t>等人</w:t>
      </w:r>
      <w:r w:rsidR="005C2444">
        <w:rPr>
          <w:rFonts w:hint="eastAsia"/>
        </w:rPr>
        <w:t>对</w:t>
      </w:r>
      <w:r>
        <w:rPr>
          <w:rFonts w:hint="eastAsia"/>
        </w:rPr>
        <w:t>砼木混合</w:t>
      </w:r>
      <w:r>
        <w:t>建筑进行了全面的文献</w:t>
      </w:r>
      <w:r>
        <w:rPr>
          <w:rFonts w:hint="eastAsia"/>
        </w:rPr>
        <w:t>检阅</w:t>
      </w:r>
      <w:r w:rsidR="005C2444">
        <w:rPr>
          <w:rFonts w:hint="eastAsia"/>
        </w:rPr>
        <w:t>并确定没有进行</w:t>
      </w:r>
      <w:r>
        <w:rPr>
          <w:rFonts w:hint="eastAsia"/>
        </w:rPr>
        <w:t>过类似图</w:t>
      </w:r>
      <w:r>
        <w:rPr>
          <w:rFonts w:hint="eastAsia"/>
        </w:rPr>
        <w:t>2</w:t>
      </w:r>
      <w:r>
        <w:rPr>
          <w:rFonts w:hint="eastAsia"/>
        </w:rPr>
        <w:t>的振动台</w:t>
      </w:r>
      <w:r w:rsidR="005C2444">
        <w:rPr>
          <w:rFonts w:hint="eastAsia"/>
        </w:rPr>
        <w:t>试验</w:t>
      </w:r>
      <w:r>
        <w:rPr>
          <w:rFonts w:hint="eastAsia"/>
        </w:rPr>
        <w:t>。想要要发展出一个对混合结构研究的模型，可靠的连接模型是不可或缺的。</w:t>
      </w:r>
      <w:r>
        <w:t>因此</w:t>
      </w:r>
      <w:r>
        <w:rPr>
          <w:rFonts w:hint="eastAsia"/>
        </w:rPr>
        <w:t>，对于在砼木混合建筑中使用的三种连接</w:t>
      </w:r>
      <w:r w:rsidR="005C2444">
        <w:t>进行</w:t>
      </w:r>
      <w:r>
        <w:rPr>
          <w:rFonts w:hint="eastAsia"/>
        </w:rPr>
        <w:t>了</w:t>
      </w:r>
      <w:r>
        <w:t>一系列单调</w:t>
      </w:r>
      <w:r>
        <w:rPr>
          <w:rFonts w:hint="eastAsia"/>
        </w:rPr>
        <w:t>加载</w:t>
      </w:r>
      <w:r>
        <w:t>和</w:t>
      </w:r>
      <w:r>
        <w:rPr>
          <w:rFonts w:hint="eastAsia"/>
        </w:rPr>
        <w:t>重复加载试验，这三种连接形式包括：</w:t>
      </w:r>
      <w:bookmarkStart w:id="3" w:name="OLE_LINK3"/>
      <w:bookmarkStart w:id="4" w:name="OLE_LINK4"/>
      <w:r>
        <w:rPr>
          <w:rFonts w:hint="eastAsia"/>
        </w:rPr>
        <w:t>(</w:t>
      </w:r>
      <w:r>
        <w:t>1</w:t>
      </w:r>
      <w:r>
        <w:rPr>
          <w:rFonts w:hint="eastAsia"/>
        </w:rPr>
        <w:t>)</w:t>
      </w:r>
      <w:r>
        <w:t xml:space="preserve"> </w:t>
      </w:r>
      <w:r w:rsidR="000D67E8">
        <w:t>木</w:t>
      </w:r>
      <w:r w:rsidR="000D67E8">
        <w:rPr>
          <w:rFonts w:hint="eastAsia"/>
        </w:rPr>
        <w:t>柱</w:t>
      </w:r>
      <w:r w:rsidR="000D67E8">
        <w:rPr>
          <w:rFonts w:hint="eastAsia"/>
        </w:rPr>
        <w:t>-</w:t>
      </w:r>
      <w:proofErr w:type="spellStart"/>
      <w:r w:rsidR="005C2444">
        <w:t>柱基连接</w:t>
      </w:r>
      <w:proofErr w:type="spellEnd"/>
      <w:r w:rsidR="005C2444">
        <w:t>，（</w:t>
      </w:r>
      <w:r w:rsidR="005C2444">
        <w:t>2</w:t>
      </w:r>
      <w:r w:rsidR="005C2444">
        <w:t>）</w:t>
      </w:r>
      <w:r>
        <w:rPr>
          <w:rFonts w:hint="eastAsia"/>
        </w:rPr>
        <w:t>混凝土墙</w:t>
      </w:r>
      <w:r>
        <w:rPr>
          <w:rFonts w:hint="eastAsia"/>
        </w:rPr>
        <w:t>-</w:t>
      </w:r>
      <w:proofErr w:type="spellStart"/>
      <w:r>
        <w:rPr>
          <w:rFonts w:hint="eastAsia"/>
        </w:rPr>
        <w:t>木梁连接和</w:t>
      </w:r>
      <w:proofErr w:type="spellEnd"/>
      <w:r>
        <w:rPr>
          <w:rFonts w:hint="eastAsia"/>
        </w:rPr>
        <w:t>(</w:t>
      </w:r>
      <w:r>
        <w:t>3</w:t>
      </w:r>
      <w:r>
        <w:rPr>
          <w:rFonts w:hint="eastAsia"/>
        </w:rPr>
        <w:t>)</w:t>
      </w:r>
      <w:r>
        <w:t xml:space="preserve"> </w:t>
      </w:r>
      <w:r w:rsidR="000D67E8">
        <w:rPr>
          <w:rFonts w:hint="eastAsia"/>
        </w:rPr>
        <w:t>木梁</w:t>
      </w:r>
      <w:r w:rsidR="000D67E8">
        <w:rPr>
          <w:rFonts w:hint="eastAsia"/>
        </w:rPr>
        <w:t>-</w:t>
      </w:r>
      <w:proofErr w:type="spellStart"/>
      <w:r w:rsidR="000D67E8">
        <w:rPr>
          <w:rFonts w:hint="eastAsia"/>
        </w:rPr>
        <w:t>木柱连接</w:t>
      </w:r>
      <w:bookmarkEnd w:id="3"/>
      <w:bookmarkEnd w:id="4"/>
      <w:proofErr w:type="spellEnd"/>
    </w:p>
    <w:p w:rsidR="007525D4" w:rsidRDefault="007525D4" w:rsidP="0057344F">
      <w:pPr>
        <w:spacing w:line="360" w:lineRule="exact"/>
        <w:rPr>
          <w:sz w:val="18"/>
          <w:szCs w:val="18"/>
        </w:rPr>
      </w:pPr>
      <w:r>
        <w:rPr>
          <w:sz w:val="18"/>
          <w:szCs w:val="18"/>
        </w:rPr>
        <w:br w:type="page"/>
      </w:r>
    </w:p>
    <w:p w:rsidR="007525D4" w:rsidRPr="00FA346C" w:rsidRDefault="007525D4" w:rsidP="0057344F">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5" w:name="前言"/>
    <w:p w:rsidR="007525D4" w:rsidRPr="005917A6" w:rsidRDefault="007525D4" w:rsidP="0057344F">
      <w:pPr>
        <w:pStyle w:val="17"/>
      </w:pPr>
      <w:r w:rsidRPr="005917A6">
        <w:fldChar w:fldCharType="begin"/>
      </w:r>
      <w:r w:rsidRPr="005917A6">
        <w:instrText xml:space="preserve"> TOC \o "1-3" \h \z \u </w:instrText>
      </w:r>
      <w:r w:rsidRPr="005917A6">
        <w:fldChar w:fldCharType="separate"/>
      </w:r>
    </w:p>
    <w:p w:rsidR="007525D4" w:rsidRPr="005917A6" w:rsidRDefault="00D8125C"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D8125C"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D8125C"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D8125C"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D8125C"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D8125C"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D8125C"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D8125C"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D8125C"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D8125C"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D8125C"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D8125C"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D8125C"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D8125C"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D8125C"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D8125C"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D8125C"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D8125C"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D8125C"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D8125C"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D8125C"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D8125C"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D8125C"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D8125C"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D8125C"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D8125C"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D8125C"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D8125C"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D8125C"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9"/>
          <w:footerReference w:type="default" r:id="rId10"/>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6" w:name="_Toc261510868"/>
    </w:p>
    <w:p w:rsidR="007525D4" w:rsidRPr="00F31704" w:rsidRDefault="007525D4" w:rsidP="0057344F">
      <w:pPr>
        <w:pStyle w:val="GP-10"/>
        <w:rPr>
          <w:b/>
          <w:i/>
        </w:rPr>
      </w:pPr>
      <w:bookmarkStart w:id="7" w:name="_Toc402184259"/>
      <w:r w:rsidRPr="00F854A3">
        <w:t>1</w:t>
      </w:r>
      <w:r w:rsidRPr="00F31704">
        <w:t xml:space="preserve">  </w:t>
      </w:r>
      <w:bookmarkEnd w:id="6"/>
      <w:bookmarkEnd w:id="7"/>
      <w:r w:rsidR="004109CE">
        <w:rPr>
          <w:rFonts w:hint="eastAsia"/>
          <w:lang w:eastAsia="zh-CN"/>
        </w:rPr>
        <w:t>结构设计说明</w:t>
      </w:r>
    </w:p>
    <w:p w:rsidR="007525D4" w:rsidRPr="00EE3938" w:rsidRDefault="007525D4" w:rsidP="0057344F">
      <w:pPr>
        <w:pStyle w:val="GP-20"/>
        <w:spacing w:before="120" w:after="120"/>
        <w:rPr>
          <w:b/>
          <w:i/>
        </w:rPr>
      </w:pPr>
      <w:bookmarkStart w:id="8" w:name="酸稳定常数测定的意义"/>
      <w:bookmarkStart w:id="9" w:name="_Toc261510869"/>
      <w:bookmarkStart w:id="10" w:name="_Toc402184260"/>
      <w:bookmarkEnd w:id="5"/>
      <w:r w:rsidRPr="00F854A3">
        <w:t>1.1</w:t>
      </w:r>
      <w:r w:rsidRPr="00EE3938">
        <w:t xml:space="preserve"> </w:t>
      </w:r>
      <w:bookmarkEnd w:id="8"/>
      <w:bookmarkEnd w:id="9"/>
      <w:bookmarkEnd w:id="10"/>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11" w:name="酸稳定常数测定的常用方法"/>
      <w:bookmarkStart w:id="12" w:name="_Toc261510870"/>
      <w:bookmarkStart w:id="13"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11"/>
      <w:bookmarkEnd w:id="12"/>
      <w:bookmarkEnd w:id="13"/>
      <w:proofErr w:type="spellStart"/>
      <w:r w:rsidR="000F3A78" w:rsidRPr="007C1751">
        <w:rPr>
          <w:rFonts w:hint="eastAsia"/>
        </w:rPr>
        <w:t>木结构材料</w:t>
      </w:r>
      <w:proofErr w:type="spellEnd"/>
    </w:p>
    <w:p w:rsidR="00E44368" w:rsidRDefault="00E44368" w:rsidP="0057344F">
      <w:pPr>
        <w:pStyle w:val="GP-3"/>
        <w:rPr>
          <w:lang w:eastAsia="zh-CN"/>
        </w:rPr>
      </w:pPr>
      <w:bookmarkStart w:id="14" w:name="_Toc261510871"/>
      <w:bookmarkStart w:id="15" w:name="_Toc402184262"/>
      <w:r>
        <w:rPr>
          <w:rFonts w:hint="eastAsia"/>
          <w:lang w:eastAsia="zh-CN"/>
        </w:rPr>
        <w:t>1</w:t>
      </w:r>
      <w:r>
        <w:t>.</w:t>
      </w:r>
      <w:r>
        <w:rPr>
          <w:rFonts w:hint="eastAsia"/>
          <w:lang w:eastAsia="zh-CN"/>
        </w:rPr>
        <w:t>2</w:t>
      </w:r>
      <w:r w:rsidRPr="00F854A3">
        <w:t>.1</w:t>
      </w:r>
      <w:r w:rsidRPr="00EE3938">
        <w:rPr>
          <w:rFonts w:cs="Arial"/>
        </w:rPr>
        <w:t xml:space="preserve"> </w:t>
      </w:r>
      <w:bookmarkEnd w:id="14"/>
      <w:bookmarkEnd w:id="15"/>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9E7E50" w:rsidRPr="00C7300C" w:rsidTr="00F938A9">
        <w:trPr>
          <w:jc w:val="center"/>
        </w:trPr>
        <w:tc>
          <w:tcPr>
            <w:tcW w:w="4389" w:type="dxa"/>
            <w:tcBorders>
              <w:top w:val="nil"/>
              <w:left w:val="nil"/>
              <w:bottom w:val="nil"/>
              <w:right w:val="nil"/>
            </w:tcBorders>
          </w:tcPr>
          <w:p w:rsidR="009E7E50" w:rsidRDefault="009E7E50" w:rsidP="00100098">
            <w:pPr>
              <w:pStyle w:val="GP-f0"/>
              <w:rPr>
                <w:rFonts w:ascii="宋体" w:hAnsi="宋体"/>
              </w:rPr>
            </w:pPr>
            <w:r>
              <w:rPr>
                <w:rFonts w:ascii="宋体" w:hAnsi="宋体" w:hint="eastAsia"/>
              </w:rPr>
              <w:t>C形轻钢龙骨隔墙</w:t>
            </w:r>
          </w:p>
        </w:tc>
        <w:tc>
          <w:tcPr>
            <w:tcW w:w="4389" w:type="dxa"/>
            <w:tcBorders>
              <w:top w:val="nil"/>
              <w:left w:val="nil"/>
              <w:bottom w:val="nil"/>
              <w:right w:val="nil"/>
            </w:tcBorders>
          </w:tcPr>
          <w:p w:rsidR="009E7E50" w:rsidRDefault="009E7E50" w:rsidP="00344590">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81604" w:rsidRPr="00C7300C" w:rsidTr="00F938A9">
        <w:trPr>
          <w:jc w:val="center"/>
        </w:trPr>
        <w:tc>
          <w:tcPr>
            <w:tcW w:w="4389" w:type="dxa"/>
            <w:tcBorders>
              <w:top w:val="nil"/>
              <w:left w:val="nil"/>
              <w:bottom w:val="nil"/>
              <w:right w:val="nil"/>
            </w:tcBorders>
          </w:tcPr>
          <w:p w:rsidR="00381604" w:rsidRDefault="00381604" w:rsidP="00100098">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Borders>
              <w:top w:val="nil"/>
              <w:left w:val="nil"/>
              <w:bottom w:val="nil"/>
              <w:right w:val="nil"/>
            </w:tcBorders>
          </w:tcPr>
          <w:p w:rsidR="00381604" w:rsidRDefault="00381604" w:rsidP="00344590">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6"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6"/>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7"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7"/>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B82031"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00A93927" w:rsidRPr="00C7300C">
              <w:rPr>
                <w:rFonts w:ascii="宋体" w:hAnsi="宋体" w:hint="eastAsia"/>
              </w:rPr>
              <w:t>厚</w:t>
            </w:r>
            <w:r>
              <w:rPr>
                <w:rFonts w:ascii="宋体" w:hAnsi="宋体" w:hint="eastAsia"/>
              </w:rPr>
              <w:t>砖墙</w:t>
            </w:r>
          </w:p>
        </w:tc>
        <w:tc>
          <w:tcPr>
            <w:tcW w:w="4389" w:type="dxa"/>
          </w:tcPr>
          <w:p w:rsidR="00F13859" w:rsidRPr="00C7300C" w:rsidRDefault="00B82031" w:rsidP="006900C4">
            <w:pPr>
              <w:pStyle w:val="GP-f0"/>
              <w:rPr>
                <w:rFonts w:ascii="宋体" w:hAnsi="宋体"/>
              </w:rPr>
            </w:pPr>
            <m:oMathPara>
              <m:oMath>
                <m:r>
                  <m:rPr>
                    <m:sty m:val="p"/>
                  </m:rPr>
                  <w:rPr>
                    <w:rFonts w:ascii="Cambria Math" w:hAnsi="Cambria Math" w:hint="eastAsia"/>
                  </w:rPr>
                  <m:t>0.24</m:t>
                </m:r>
                <m:r>
                  <m:rPr>
                    <m:sty m:val="p"/>
                  </m:rPr>
                  <w:rPr>
                    <w:rFonts w:ascii="Cambria Math" w:hAnsi="Cambria Math"/>
                  </w:rPr>
                  <m:t>×</m:t>
                </m:r>
                <m:r>
                  <m:rPr>
                    <m:sty m:val="p"/>
                  </m:rPr>
                  <w:rPr>
                    <w:rFonts w:ascii="Cambria Math" w:hAnsi="Cambria Math" w:hint="eastAsia"/>
                  </w:rPr>
                  <m:t>19=4.56kN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560833"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p>
        </w:tc>
        <w:tc>
          <w:tcPr>
            <w:tcW w:w="4389" w:type="dxa"/>
          </w:tcPr>
          <w:p w:rsidR="00F13859" w:rsidRPr="00C7300C" w:rsidRDefault="00560833" w:rsidP="006900C4">
            <w:pPr>
              <w:pStyle w:val="GP-f0"/>
              <w:rPr>
                <w:rFonts w:ascii="宋体" w:hAnsi="宋体"/>
              </w:rPr>
            </w:pPr>
            <m:oMathPara>
              <m:oMath>
                <m:r>
                  <m:rPr>
                    <m:sty m:val="p"/>
                  </m:rPr>
                  <w:rPr>
                    <w:rFonts w:ascii="Cambria Math" w:hAnsi="Cambria Math" w:hint="eastAsia"/>
                  </w:rPr>
                  <m:t>0.36kN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A02860" w:rsidP="006900C4">
            <w:pPr>
              <w:pStyle w:val="GP-f0"/>
              <w:rPr>
                <w:rFonts w:ascii="宋体" w:hAnsi="宋体"/>
              </w:rPr>
            </w:pPr>
            <m:oMathPara>
              <m:oMath>
                <m:r>
                  <m:rPr>
                    <m:sty m:val="p"/>
                  </m:rPr>
                  <w:rPr>
                    <w:rFonts w:ascii="Cambria Math" w:hAnsi="Cambria Math"/>
                  </w:rPr>
                  <m:t>4.92</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lastRenderedPageBreak/>
        <w:t>2.2.4</w:t>
      </w:r>
      <w:r w:rsidR="006900C4">
        <w:rPr>
          <w:lang w:eastAsia="zh-CN"/>
        </w:rPr>
        <w:t xml:space="preserve"> </w:t>
      </w:r>
      <w:r w:rsidR="006900C4">
        <w:rPr>
          <w:rFonts w:hint="eastAsia"/>
          <w:lang w:eastAsia="zh-CN"/>
        </w:rPr>
        <w:t>办公楼内墙荷载标准值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A214D0" w:rsidP="006900C4">
            <w:pPr>
              <w:pStyle w:val="GP-f0"/>
              <w:rPr>
                <w:rFonts w:ascii="宋体" w:hAnsi="宋体"/>
              </w:rPr>
            </w:pPr>
            <m:oMath>
              <m:r>
                <m:rPr>
                  <m:sty m:val="p"/>
                </m:rPr>
                <w:rPr>
                  <w:rFonts w:ascii="Cambria Math" w:hAnsi="Cambria Math" w:hint="eastAsia"/>
                </w:rPr>
                <m:t>240</m:t>
              </m:r>
              <m:r>
                <m:rPr>
                  <m:sty m:val="p"/>
                </m:rPr>
                <w:rPr>
                  <w:rFonts w:ascii="Cambria Math" w:hAnsi="Cambria Math"/>
                </w:rPr>
                <m:t>mm</m:t>
              </m:r>
            </m:oMath>
            <w:r w:rsidRPr="00C7300C">
              <w:rPr>
                <w:rFonts w:ascii="宋体" w:hAnsi="宋体" w:hint="eastAsia"/>
              </w:rPr>
              <w:t>厚</w:t>
            </w:r>
            <w:r>
              <w:rPr>
                <w:rFonts w:ascii="宋体" w:hAnsi="宋体" w:hint="eastAsia"/>
              </w:rPr>
              <w:t>砖墙</w:t>
            </w:r>
          </w:p>
        </w:tc>
        <w:tc>
          <w:tcPr>
            <w:tcW w:w="4389" w:type="dxa"/>
          </w:tcPr>
          <w:p w:rsidR="006900C4" w:rsidRPr="00C7300C" w:rsidRDefault="00A214D0" w:rsidP="006900C4">
            <w:pPr>
              <w:pStyle w:val="GP-f0"/>
              <w:rPr>
                <w:rFonts w:ascii="宋体" w:hAnsi="宋体"/>
              </w:rPr>
            </w:pPr>
            <m:oMathPara>
              <m:oMath>
                <m:r>
                  <m:rPr>
                    <m:sty m:val="p"/>
                  </m:rPr>
                  <w:rPr>
                    <w:rFonts w:ascii="Cambria Math" w:hAnsi="Cambria Math" w:hint="eastAsia"/>
                  </w:rPr>
                  <m:t>0.</m:t>
                </m:r>
                <m:r>
                  <m:rPr>
                    <m:sty m:val="p"/>
                  </m:rPr>
                  <w:rPr>
                    <w:rFonts w:ascii="Cambria Math" w:hAnsi="Cambria Math"/>
                  </w:rPr>
                  <m:t>24×19=4.56</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A214D0" w:rsidP="006900C4">
            <w:pPr>
              <w:pStyle w:val="GP-f0"/>
              <w:rPr>
                <w:rFonts w:ascii="宋体" w:hAnsi="宋体"/>
              </w:rPr>
            </w:pPr>
            <w:r>
              <w:rPr>
                <w:rFonts w:ascii="宋体" w:hAnsi="宋体" w:hint="eastAsia"/>
              </w:rPr>
              <w:t>水泥粉刷墙面(</w:t>
            </w:r>
            <m:oMath>
              <m:r>
                <m:rPr>
                  <m:sty m:val="p"/>
                </m:rPr>
                <w:rPr>
                  <w:rFonts w:ascii="Cambria Math" w:hAnsi="Cambria Math"/>
                </w:rPr>
                <m:t>20mm</m:t>
              </m:r>
            </m:oMath>
            <w:r>
              <w:rPr>
                <w:rFonts w:ascii="宋体" w:hAnsi="宋体" w:hint="eastAsia"/>
              </w:rPr>
              <w:t>厚</w:t>
            </w:r>
            <w:r w:rsidR="00EE0825">
              <w:rPr>
                <w:rFonts w:ascii="宋体" w:hAnsi="宋体" w:hint="eastAsia"/>
              </w:rPr>
              <w:t>，双面</w:t>
            </w:r>
            <w:r>
              <w:rPr>
                <w:rFonts w:ascii="宋体" w:hAnsi="宋体" w:hint="eastAsia"/>
              </w:rPr>
              <w:t>)</w:t>
            </w:r>
          </w:p>
        </w:tc>
        <w:tc>
          <w:tcPr>
            <w:tcW w:w="4389" w:type="dxa"/>
          </w:tcPr>
          <w:p w:rsidR="006900C4" w:rsidRPr="00C7300C" w:rsidRDefault="00EE0825" w:rsidP="006900C4">
            <w:pPr>
              <w:pStyle w:val="GP-f0"/>
              <w:rPr>
                <w:rFonts w:ascii="宋体" w:hAnsi="宋体"/>
              </w:rPr>
            </w:pPr>
            <m:oMathPara>
              <m:oMath>
                <m:r>
                  <m:rPr>
                    <m:sty m:val="p"/>
                  </m:rPr>
                  <w:rPr>
                    <w:rFonts w:ascii="Cambria Math" w:hAnsi="Cambria Math" w:hint="eastAsia"/>
                  </w:rPr>
                  <m:t>0.36</m:t>
                </m:r>
                <m:r>
                  <m:rPr>
                    <m:sty m:val="p"/>
                  </m:rPr>
                  <w:rPr>
                    <w:rFonts w:ascii="Cambria Math" w:hAnsi="Cambria Math"/>
                  </w:rPr>
                  <m:t>×</m:t>
                </m:r>
                <m:r>
                  <m:rPr>
                    <m:sty m:val="p"/>
                  </m:rPr>
                  <w:rPr>
                    <w:rFonts w:ascii="Cambria Math" w:hAnsi="Cambria Math" w:hint="eastAsia"/>
                  </w:rPr>
                  <m:t>2=0.72kN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EE0825" w:rsidP="006900C4">
            <w:pPr>
              <w:pStyle w:val="GP-f0"/>
              <w:rPr>
                <w:rFonts w:ascii="宋体" w:hAnsi="宋体"/>
              </w:rPr>
            </w:pPr>
            <m:oMathPara>
              <m:oMath>
                <m:r>
                  <m:rPr>
                    <m:sty m:val="p"/>
                  </m:rPr>
                  <w:rPr>
                    <w:rFonts w:ascii="Cambria Math" w:hAnsi="Cambria Math" w:hint="eastAsia"/>
                  </w:rPr>
                  <m:t>5.28kN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E7E50" w:rsidRDefault="009E7E50" w:rsidP="009E7E50">
      <w:pPr>
        <w:pStyle w:val="GP-3"/>
        <w:rPr>
          <w:lang w:eastAsia="zh-CN"/>
        </w:rPr>
      </w:pPr>
      <w:r>
        <w:rPr>
          <w:rFonts w:hint="eastAsia"/>
          <w:lang w:eastAsia="zh-CN"/>
        </w:rPr>
        <w:t>2.2.5</w:t>
      </w:r>
      <w:r>
        <w:rPr>
          <w:lang w:eastAsia="zh-CN"/>
        </w:rPr>
        <w:t xml:space="preserve"> </w:t>
      </w:r>
      <w:r>
        <w:rPr>
          <w:rFonts w:hint="eastAsia"/>
          <w:lang w:eastAsia="zh-CN"/>
        </w:rPr>
        <w:t>办公楼内</w:t>
      </w:r>
      <w:proofErr w:type="spellStart"/>
      <w:r>
        <w:rPr>
          <w:rFonts w:hint="eastAsia"/>
          <w:lang w:eastAsia="zh-CN"/>
        </w:rPr>
        <w:t>C</w:t>
      </w:r>
      <w:r>
        <w:rPr>
          <w:rFonts w:hint="eastAsia"/>
          <w:lang w:eastAsia="zh-CN"/>
        </w:rPr>
        <w:t>形轻钢龙骨隔墙</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E7E50" w:rsidRPr="00C7300C" w:rsidTr="00D8125C">
        <w:tc>
          <w:tcPr>
            <w:tcW w:w="4389" w:type="dxa"/>
          </w:tcPr>
          <w:p w:rsidR="009E7E50" w:rsidRPr="00C7300C" w:rsidRDefault="009E7E50" w:rsidP="00D8125C">
            <w:pPr>
              <w:pStyle w:val="GP-f0"/>
              <w:rPr>
                <w:rFonts w:ascii="宋体" w:hAnsi="宋体"/>
              </w:rPr>
            </w:pPr>
            <w:r>
              <w:rPr>
                <w:rFonts w:ascii="宋体" w:hAnsi="宋体" w:hint="eastAsia"/>
              </w:rPr>
              <w:t>C形轻钢龙骨隔墙(三层</w:t>
            </w:r>
            <m:oMath>
              <m:r>
                <m:rPr>
                  <m:sty m:val="p"/>
                </m:rPr>
                <w:rPr>
                  <w:rFonts w:ascii="Cambria Math" w:hAnsi="Cambria Math" w:hint="eastAsia"/>
                </w:rPr>
                <m:t>12mm</m:t>
              </m:r>
            </m:oMath>
            <w:r>
              <w:rPr>
                <w:rFonts w:ascii="宋体" w:hAnsi="宋体" w:hint="eastAsia"/>
              </w:rPr>
              <w:t>纸面石膏板，中填岩棉保温板</w:t>
            </w:r>
            <m:oMath>
              <m:r>
                <m:rPr>
                  <m:sty m:val="p"/>
                </m:rPr>
                <w:rPr>
                  <w:rFonts w:ascii="Cambria Math" w:hAnsi="Cambria Math" w:hint="eastAsia"/>
                </w:rPr>
                <m:t>50mm</m:t>
              </m:r>
            </m:oMath>
            <w:r>
              <w:rPr>
                <w:rFonts w:ascii="宋体" w:hAnsi="宋体" w:hint="eastAsia"/>
              </w:rPr>
              <w:t>)</w:t>
            </w:r>
          </w:p>
        </w:tc>
        <w:tc>
          <w:tcPr>
            <w:tcW w:w="4389" w:type="dxa"/>
          </w:tcPr>
          <w:p w:rsidR="009E7E50" w:rsidRPr="00C7300C" w:rsidRDefault="009E7E50" w:rsidP="00D8125C">
            <w:pPr>
              <w:pStyle w:val="GP-f0"/>
              <w:rPr>
                <w:rFonts w:ascii="宋体" w:hAnsi="宋体"/>
              </w:rPr>
            </w:pPr>
            <m:oMathPara>
              <m:oMath>
                <m:r>
                  <m:rPr>
                    <m:sty m:val="p"/>
                  </m:rPr>
                  <w:rPr>
                    <w:rFonts w:ascii="Cambria Math" w:hAnsi="Cambria Math" w:hint="eastAsia"/>
                  </w:rPr>
                  <m:t>0.43kN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9E7E50" w:rsidRPr="00C7300C" w:rsidTr="00D8125C">
        <w:tc>
          <w:tcPr>
            <w:tcW w:w="4389" w:type="dxa"/>
            <w:tcBorders>
              <w:top w:val="single" w:sz="4" w:space="0" w:color="auto"/>
            </w:tcBorders>
          </w:tcPr>
          <w:p w:rsidR="009E7E50" w:rsidRPr="00C7300C" w:rsidRDefault="009E7E50" w:rsidP="00D8125C">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9E7E50" w:rsidRPr="00C7300C" w:rsidRDefault="0004665C" w:rsidP="00D8125C">
            <w:pPr>
              <w:pStyle w:val="GP-f0"/>
              <w:rPr>
                <w:rFonts w:ascii="宋体" w:hAnsi="宋体"/>
              </w:rPr>
            </w:pPr>
            <m:oMathPara>
              <m:oMath>
                <m:r>
                  <m:rPr>
                    <m:sty m:val="p"/>
                  </m:rPr>
                  <w:rPr>
                    <w:rFonts w:ascii="Cambria Math" w:hAnsi="Cambria Math" w:hint="eastAsia"/>
                  </w:rPr>
                  <m:t>0.</m:t>
                </m:r>
                <m:r>
                  <m:rPr>
                    <m:sty m:val="p"/>
                  </m:rPr>
                  <w:rPr>
                    <w:rFonts w:ascii="Cambria Math" w:hAnsi="Cambria Math"/>
                  </w:rPr>
                  <m:t>43</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E7E50" w:rsidRPr="009E7E50" w:rsidRDefault="009E7E50" w:rsidP="009E7E50">
      <w:pPr>
        <w:pStyle w:val="GP-4"/>
      </w:pPr>
    </w:p>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553231" w:rsidP="00147C5F">
            <w:pPr>
              <w:pStyle w:val="GP-4"/>
              <w:ind w:firstLine="360"/>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D8125C"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8"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8"/>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lastRenderedPageBreak/>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D8125C"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D8125C"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D8125C"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D8125C"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E668C6"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in;height:219pt" o:ole="">
            <v:imagedata r:id="rId11" o:title="" croptop="7598f" cropbottom="16147f" cropleft="20935f" cropright="33223f"/>
          </v:shape>
          <o:OLEObject Type="Embed" ProgID="AutoCAD.Drawing.20" ShapeID="_x0000_i1027" DrawAspect="Content" ObjectID="_1556901166" r:id="rId12"/>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Default="0043730C" w:rsidP="0043730C">
      <w:pPr>
        <w:pStyle w:val="GP-f5"/>
        <w:ind w:firstLine="420"/>
      </w:pPr>
      <w:r>
        <w:rPr>
          <w:rFonts w:hint="eastAsia"/>
        </w:rPr>
        <w:t xml:space="preserve">B. </w:t>
      </w:r>
      <w:r>
        <w:rPr>
          <w:rFonts w:hint="eastAsia"/>
        </w:rPr>
        <w:t>确定</w:t>
      </w:r>
      <w:r w:rsidR="00437728">
        <w:rPr>
          <w:rFonts w:hint="eastAsia"/>
        </w:rPr>
        <w:t>各</w:t>
      </w:r>
      <w:r w:rsidR="00C52D3F">
        <w:rPr>
          <w:rFonts w:hint="eastAsia"/>
        </w:rPr>
        <w:t>楼层质量</w:t>
      </w:r>
    </w:p>
    <w:p w:rsidR="00C52D3F" w:rsidRDefault="002738DE" w:rsidP="00C52D3F">
      <w:pPr>
        <w:pStyle w:val="GP-4"/>
      </w:pPr>
      <w:r>
        <w:rPr>
          <w:rFonts w:hint="eastAsia"/>
        </w:rPr>
        <w:t>在计算简图中，第</w:t>
      </w:r>
      <m:oMath>
        <m:r>
          <w:rPr>
            <w:rFonts w:ascii="Cambria Math" w:hAnsi="Cambria Math"/>
          </w:rPr>
          <m:t>i</m:t>
        </m:r>
      </m:oMath>
      <w:r>
        <w:rPr>
          <w:rFonts w:hint="eastAsia"/>
        </w:rPr>
        <w:t>个质点的重量包括该楼层屋盖的全部重量、上下各半层墙体</w:t>
      </w:r>
      <w:r>
        <w:rPr>
          <w:rFonts w:hint="eastAsia"/>
        </w:rPr>
        <w:t>(</w:t>
      </w:r>
      <w:proofErr w:type="spellStart"/>
      <w:r>
        <w:rPr>
          <w:rFonts w:hint="eastAsia"/>
        </w:rPr>
        <w:t>包括门窗等</w:t>
      </w:r>
      <w:proofErr w:type="spellEnd"/>
      <w:r>
        <w:rPr>
          <w:rFonts w:hint="eastAsia"/>
        </w:rPr>
        <w:t>)</w:t>
      </w:r>
      <w:proofErr w:type="spellStart"/>
      <w:r>
        <w:rPr>
          <w:rFonts w:hint="eastAsia"/>
        </w:rPr>
        <w:t>重量以及该楼面活荷载的组合值，</w:t>
      </w:r>
      <w:r w:rsidR="007B7DF1">
        <w:rPr>
          <w:rFonts w:hint="eastAsia"/>
        </w:rPr>
        <w:t>一般情况下，楼层活荷载按照</w:t>
      </w:r>
      <w:proofErr w:type="spellEnd"/>
      <m:oMath>
        <m:r>
          <m:rPr>
            <m:sty m:val="p"/>
          </m:rPr>
          <w:rPr>
            <w:rFonts w:ascii="Cambria Math" w:hAnsi="Cambria Math" w:hint="eastAsia"/>
          </w:rPr>
          <m:t>50%</m:t>
        </m:r>
      </m:oMath>
      <w:r w:rsidR="007B7DF1">
        <w:rPr>
          <w:rFonts w:hint="eastAsia"/>
        </w:rPr>
        <w:t>计入，但对按照实际情况考虑的楼层活荷载按</w:t>
      </w:r>
      <m:oMath>
        <m:r>
          <m:rPr>
            <m:sty m:val="p"/>
          </m:rPr>
          <w:rPr>
            <w:rFonts w:ascii="Cambria Math" w:hAnsi="Cambria Math" w:hint="eastAsia"/>
          </w:rPr>
          <m:t>100%</m:t>
        </m:r>
      </m:oMath>
      <w:r w:rsidR="007B7DF1">
        <w:rPr>
          <w:rFonts w:hint="eastAsia"/>
        </w:rPr>
        <w:t>计入，屋面活荷载一般不计入，但屋面雪荷载、积灰荷载按</w:t>
      </w:r>
      <m:oMath>
        <m:r>
          <m:rPr>
            <m:sty m:val="p"/>
          </m:rPr>
          <w:rPr>
            <w:rFonts w:ascii="Cambria Math" w:hAnsi="Cambria Math" w:hint="eastAsia"/>
          </w:rPr>
          <m:t>50</m:t>
        </m:r>
        <m:r>
          <m:rPr>
            <m:sty m:val="p"/>
          </m:rPr>
          <w:rPr>
            <w:rFonts w:ascii="Cambria Math" w:hAnsi="Cambria Math"/>
          </w:rPr>
          <m:t>%</m:t>
        </m:r>
      </m:oMath>
      <w:r w:rsidR="007B7DF1">
        <w:rPr>
          <w:rFonts w:hint="eastAsia"/>
        </w:rPr>
        <w:t>计入；底部固定端的标高取室外地面以下</w:t>
      </w:r>
      <m:oMath>
        <m:r>
          <m:rPr>
            <m:sty m:val="p"/>
          </m:rPr>
          <w:rPr>
            <w:rFonts w:ascii="Cambria Math" w:hAnsi="Cambria Math" w:hint="eastAsia"/>
          </w:rPr>
          <m:t>500mm</m:t>
        </m:r>
      </m:oMath>
      <w:r w:rsidR="007B7DF1">
        <w:rPr>
          <w:rFonts w:hint="eastAsia"/>
        </w:rPr>
        <w:t>，</w:t>
      </w:r>
      <w:r w:rsidR="00D86008">
        <w:rPr>
          <w:rFonts w:hint="eastAsia"/>
        </w:rPr>
        <w:t>处标高及基础梁顶部标高两者中的较大值。</w:t>
      </w:r>
    </w:p>
    <w:p w:rsidR="00D86008" w:rsidRPr="007B7DF1" w:rsidRDefault="007A6C8C" w:rsidP="007A6C8C">
      <w:pPr>
        <w:pStyle w:val="GP-fb"/>
        <w:ind w:firstLine="420"/>
      </w:pPr>
      <w:r>
        <w:rPr>
          <w:rFonts w:hint="eastAsia"/>
        </w:rPr>
        <w:t>a</w:t>
      </w:r>
      <w:r>
        <w:t xml:space="preserve">. </w:t>
      </w:r>
      <w:r w:rsidR="0053472E">
        <w:rPr>
          <w:rFonts w:hint="eastAsia"/>
        </w:rPr>
        <w:t>一层</w:t>
      </w: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Default="002738DE" w:rsidP="00C52D3F">
      <w:pPr>
        <w:pStyle w:val="GP-4"/>
      </w:pPr>
    </w:p>
    <w:p w:rsidR="002738DE" w:rsidRPr="00C2576E" w:rsidRDefault="002738DE" w:rsidP="00C52D3F">
      <w:pPr>
        <w:pStyle w:val="GP-4"/>
      </w:pPr>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D8125C" w:rsidP="0057344F">
      <w:pPr>
        <w:pStyle w:val="GP-3"/>
        <w:ind w:firstLine="413"/>
        <w:rPr>
          <w:rFonts w:cs="Arial"/>
          <w:b/>
        </w:rPr>
      </w:pPr>
      <w:bookmarkStart w:id="19"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D8125C" w:rsidRPr="002412F0" w:rsidRDefault="00D8125C" w:rsidP="0057344F">
                  <w:pPr>
                    <w:rPr>
                      <w:color w:val="0070C0"/>
                    </w:rPr>
                  </w:pPr>
                  <w:r w:rsidRPr="002412F0">
                    <w:rPr>
                      <w:color w:val="0070C0"/>
                      <w:sz w:val="18"/>
                      <w:szCs w:val="18"/>
                    </w:rPr>
                    <w:t>3</w:t>
                  </w:r>
                  <w:r w:rsidRPr="002412F0">
                    <w:rPr>
                      <w:color w:val="0070C0"/>
                      <w:sz w:val="18"/>
                      <w:szCs w:val="18"/>
                    </w:rPr>
                    <w:t>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w:t>
                  </w:r>
                  <w:r w:rsidRPr="002412F0">
                    <w:rPr>
                      <w:color w:val="0070C0"/>
                      <w:sz w:val="18"/>
                      <w:szCs w:val="18"/>
                    </w:rPr>
                    <w:t>段前0.5行，段后0.5行。</w:t>
                  </w:r>
                </w:p>
              </w:txbxContent>
            </v:textbox>
          </v:shape>
        </w:pict>
      </w:r>
      <w:bookmarkStart w:id="20"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9"/>
      <w:bookmarkEnd w:id="20"/>
      <w:proofErr w:type="spellEnd"/>
    </w:p>
    <w:p w:rsidR="007525D4" w:rsidRPr="00D67025" w:rsidRDefault="007525D4" w:rsidP="0057344F">
      <w:pPr>
        <w:spacing w:line="360" w:lineRule="exact"/>
        <w:rPr>
          <w:rFonts w:ascii="宋体" w:hAnsi="宋体"/>
        </w:rPr>
      </w:pPr>
      <w:bookmarkStart w:id="21"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D8125C"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22" w:name="_Toc261510873"/>
        <w:bookmarkStart w:id="23"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22"/>
        <w:bookmarkEnd w:id="23"/>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4" w:name="_Toc261510874"/>
      <w:bookmarkStart w:id="25"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4"/>
      <w:bookmarkEnd w:id="25"/>
      <w:proofErr w:type="spellEnd"/>
    </w:p>
    <w:bookmarkEnd w:id="21"/>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D8125C"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D8125C" w:rsidRPr="002412F0" w:rsidRDefault="00D8125C" w:rsidP="0057344F">
                  <w:pPr>
                    <w:rPr>
                      <w:color w:val="0070C0"/>
                    </w:rPr>
                  </w:pPr>
                  <w:r w:rsidRPr="002412F0">
                    <w:rPr>
                      <w:color w:val="0070C0"/>
                      <w:sz w:val="18"/>
                      <w:szCs w:val="18"/>
                    </w:rPr>
                    <w:t>正文：五号，宋体（</w:t>
                  </w:r>
                  <w:r w:rsidRPr="002412F0">
                    <w:rPr>
                      <w:color w:val="0070C0"/>
                      <w:sz w:val="18"/>
                      <w:szCs w:val="18"/>
                    </w:rPr>
                    <w:t>英文Times New Roman），两端对齐，段落首行左缩进2个</w:t>
                  </w:r>
                  <w:r w:rsidRPr="002412F0">
                    <w:rPr>
                      <w:rFonts w:hint="eastAsia"/>
                      <w:color w:val="0070C0"/>
                      <w:sz w:val="18"/>
                      <w:szCs w:val="18"/>
                    </w:rPr>
                    <w:t>汉</w:t>
                  </w:r>
                  <w:r w:rsidRPr="002412F0">
                    <w:rPr>
                      <w:color w:val="0070C0"/>
                      <w:sz w:val="18"/>
                      <w:szCs w:val="18"/>
                    </w:rPr>
                    <w:t>字符，行距18磅，</w:t>
                  </w:r>
                  <w:r w:rsidRPr="002412F0">
                    <w:rPr>
                      <w:color w:val="0070C0"/>
                      <w:sz w:val="18"/>
                      <w:szCs w:val="18"/>
                    </w:rPr>
                    <w:t>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D8125C" w:rsidP="0057344F">
      <w:pPr>
        <w:pStyle w:val="1"/>
        <w:spacing w:beforeLines="50" w:before="120" w:afterLines="50" w:after="120" w:line="360" w:lineRule="exact"/>
        <w:jc w:val="center"/>
        <w:rPr>
          <w:rFonts w:ascii="Arial" w:eastAsia="黑体" w:hAnsi="Arial" w:cs="Arial"/>
          <w:b w:val="0"/>
          <w:i w:val="0"/>
        </w:rPr>
      </w:pPr>
      <w:bookmarkStart w:id="26" w:name="_Toc261510875"/>
      <w:bookmarkStart w:id="27"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D8125C" w:rsidRPr="00497E27" w:rsidRDefault="00D8125C" w:rsidP="0057344F">
                  <w:pPr>
                    <w:rPr>
                      <w:color w:val="0070C0"/>
                    </w:rPr>
                  </w:pPr>
                  <w:r w:rsidRPr="00497E27">
                    <w:rPr>
                      <w:rFonts w:hint="eastAsia"/>
                      <w:color w:val="0070C0"/>
                      <w:sz w:val="18"/>
                      <w:szCs w:val="18"/>
                    </w:rPr>
                    <w:t>每章另起一页</w:t>
                  </w:r>
                </w:p>
              </w:txbxContent>
            </v:textbox>
          </v:shape>
        </w:pict>
      </w:r>
      <w:bookmarkStart w:id="28"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6"/>
      <w:bookmarkEnd w:id="28"/>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9" w:name="_Toc261510876"/>
      <w:bookmarkStart w:id="30" w:name="_Toc402184267"/>
      <w:bookmarkStart w:id="31" w:name="生成函数法测定稳定常数关系式的导出"/>
      <w:bookmarkEnd w:id="27"/>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9"/>
      <w:bookmarkEnd w:id="30"/>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8" type="#_x0000_t75" style="width:100.5pt;height:1in" o:ole="" fillcolor="window">
            <v:imagedata r:id="rId13" o:title=""/>
          </v:shape>
          <o:OLEObject Type="Embed" ProgID="Equation.3" ShapeID="_x0000_i1028" DrawAspect="Content" ObjectID="_1556901167" r:id="rId14"/>
        </w:object>
      </w:r>
      <w:r w:rsidRPr="00660DCA">
        <w:rPr>
          <w:color w:val="000000"/>
        </w:rPr>
        <w:t xml:space="preserve">   或   </w:t>
      </w:r>
      <w:r w:rsidRPr="00660DCA">
        <w:rPr>
          <w:color w:val="000000"/>
          <w:position w:val="-64"/>
        </w:rPr>
        <w:object w:dxaOrig="2260" w:dyaOrig="1400">
          <v:shape id="_x0000_i1029" type="#_x0000_t75" style="width:115.5pt;height:1in" o:ole="" fillcolor="window">
            <v:imagedata r:id="rId15" o:title=""/>
          </v:shape>
          <o:OLEObject Type="Embed" ProgID="Equation.3" ShapeID="_x0000_i1029" DrawAspect="Content" ObjectID="_1556901168" r:id="rId16"/>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30" type="#_x0000_t75" style="width:14.25pt;height:14.25pt" o:ole="">
            <v:imagedata r:id="rId17" o:title=""/>
          </v:shape>
          <o:OLEObject Type="Embed" ProgID="Equation.3" ShapeID="_x0000_i1030" DrawAspect="Content" ObjectID="_1556901169" r:id="rId18"/>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1" type="#_x0000_t75" style="width:122.25pt;height:36pt" o:ole="" fillcolor="window">
            <v:imagedata r:id="rId19" o:title=""/>
          </v:shape>
          <o:OLEObject Type="Embed" ProgID="Equation.3" ShapeID="_x0000_i1031" DrawAspect="Content" ObjectID="_1556901170" r:id="rId20"/>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2" type="#_x0000_t75" style="width:129.75pt;height:36pt" o:ole="" fillcolor="window">
            <v:imagedata r:id="rId21" o:title=""/>
          </v:shape>
          <o:OLEObject Type="Embed" ProgID="Equation.3" ShapeID="_x0000_i1032" DrawAspect="Content" ObjectID="_1556901171" r:id="rId22"/>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D8125C" w:rsidP="0057344F">
      <w:pPr>
        <w:pStyle w:val="2"/>
        <w:spacing w:beforeLines="50" w:before="120" w:afterLines="50" w:after="120" w:line="360" w:lineRule="exact"/>
        <w:rPr>
          <w:rFonts w:ascii="Arial" w:eastAsia="黑体" w:hAnsi="Arial" w:cs="Arial"/>
          <w:b w:val="0"/>
          <w:i w:val="0"/>
        </w:rPr>
      </w:pPr>
      <w:bookmarkStart w:id="32"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D8125C" w:rsidRPr="00497E27" w:rsidRDefault="00D8125C"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D8125C" w:rsidRPr="00497E27" w:rsidRDefault="00D8125C" w:rsidP="0057344F">
                  <w:pPr>
                    <w:rPr>
                      <w:color w:val="0070C0"/>
                      <w:sz w:val="18"/>
                      <w:szCs w:val="18"/>
                    </w:rPr>
                  </w:pPr>
                  <w:r w:rsidRPr="00497E27">
                    <w:rPr>
                      <w:color w:val="0070C0"/>
                      <w:sz w:val="18"/>
                      <w:szCs w:val="18"/>
                    </w:rPr>
                    <w:t>（2）公式：五号，宋体（英文Times New Roman），使用公式编辑器，居中，</w:t>
                  </w:r>
                  <w:r w:rsidRPr="00497E27">
                    <w:rPr>
                      <w:color w:val="0070C0"/>
                      <w:sz w:val="18"/>
                      <w:szCs w:val="18"/>
                    </w:rPr>
                    <w:t>式号右对齐。</w:t>
                  </w:r>
                </w:p>
                <w:p w:rsidR="00D8125C" w:rsidRPr="00497E27" w:rsidRDefault="00D8125C" w:rsidP="0057344F">
                  <w:pPr>
                    <w:rPr>
                      <w:color w:val="0070C0"/>
                      <w:sz w:val="18"/>
                      <w:szCs w:val="18"/>
                    </w:rPr>
                  </w:pPr>
                  <w:r w:rsidRPr="00497E27">
                    <w:rPr>
                      <w:color w:val="0070C0"/>
                      <w:sz w:val="18"/>
                      <w:szCs w:val="18"/>
                    </w:rPr>
                    <w:t>（3）公式行行距1.5倍，段前0行，段后0行。</w:t>
                  </w:r>
                </w:p>
                <w:p w:rsidR="00D8125C" w:rsidRPr="00497E27" w:rsidRDefault="00D8125C"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33"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32"/>
      <w:bookmarkEnd w:id="33"/>
      <w:proofErr w:type="spellEnd"/>
    </w:p>
    <w:p w:rsidR="007525D4" w:rsidRPr="00EE3938" w:rsidRDefault="00D8125C"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4" w:name="_Toc261510878"/>
        <w:bookmarkStart w:id="35"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4"/>
        <w:bookmarkEnd w:id="35"/>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6" w:name="_Toc261510879"/>
      <w:bookmarkStart w:id="37"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6"/>
      <w:bookmarkEnd w:id="37"/>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8" w:name="_Toc261510880"/>
      <w:bookmarkStart w:id="39" w:name="_Toc402184271"/>
      <w:bookmarkEnd w:id="31"/>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8"/>
      <w:bookmarkEnd w:id="39"/>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40" w:name="_Toc261510881"/>
      <w:bookmarkStart w:id="41" w:name="_Toc402184272"/>
      <w:bookmarkStart w:id="42"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40"/>
      <w:bookmarkEnd w:id="4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3" w:name="_Toc261510882"/>
      <w:bookmarkStart w:id="44" w:name="_Toc402184273"/>
      <w:bookmarkEnd w:id="42"/>
      <w:r w:rsidRPr="00F854A3">
        <w:rPr>
          <w:rFonts w:eastAsia="黑体"/>
          <w:b w:val="0"/>
          <w:i w:val="0"/>
        </w:rPr>
        <w:t>3.1</w:t>
      </w:r>
      <w:bookmarkStart w:id="45"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43"/>
      <w:bookmarkEnd w:id="44"/>
      <w:bookmarkEnd w:id="45"/>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6" w:name="_Toc261510883"/>
      <w:bookmarkStart w:id="47" w:name="_Toc402184274"/>
      <w:bookmarkStart w:id="48"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6"/>
      <w:bookmarkEnd w:id="47"/>
      <w:proofErr w:type="spellEnd"/>
    </w:p>
    <w:bookmarkEnd w:id="48"/>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9" w:name="_Toc261510884"/>
      <w:bookmarkStart w:id="50"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9"/>
      <w:bookmarkEnd w:id="50"/>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1" w:name="溶液的配制及浓度的测定"/>
      <w:bookmarkStart w:id="52" w:name="_Toc261510885"/>
      <w:bookmarkStart w:id="53"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51"/>
      <w:r w:rsidRPr="00EE3938">
        <w:rPr>
          <w:rFonts w:ascii="Arial" w:eastAsia="黑体" w:hAnsi="Arial" w:cs="Arial"/>
          <w:b w:val="0"/>
          <w:i w:val="0"/>
        </w:rPr>
        <w:t>标定</w:t>
      </w:r>
      <w:bookmarkEnd w:id="52"/>
      <w:bookmarkEnd w:id="53"/>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4" w:name="_Toc261510886"/>
      <w:bookmarkStart w:id="55" w:name="_Toc402184277"/>
      <w:bookmarkStart w:id="56"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4"/>
      <w:bookmarkEnd w:id="55"/>
      <w:proofErr w:type="spellEnd"/>
    </w:p>
    <w:bookmarkEnd w:id="56"/>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D8125C" w:rsidP="0057344F">
      <w:pPr>
        <w:pStyle w:val="3"/>
        <w:spacing w:beforeLines="50" w:before="120" w:afterLines="50" w:after="120" w:line="360" w:lineRule="exact"/>
        <w:rPr>
          <w:rFonts w:cs="Arial"/>
          <w:sz w:val="21"/>
          <w:szCs w:val="21"/>
        </w:rPr>
      </w:pPr>
      <w:bookmarkStart w:id="57" w:name="_Toc402163302"/>
      <w:bookmarkStart w:id="58" w:name="_Toc261510887"/>
      <w:bookmarkStart w:id="59"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D8125C" w:rsidRPr="00E37770" w:rsidRDefault="00D8125C" w:rsidP="0057344F">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”，第二次出现的“/”，用“-1”次方表示。</w:t>
                  </w:r>
                </w:p>
              </w:txbxContent>
            </v:textbox>
          </v:shape>
        </w:pict>
      </w:r>
      <w:bookmarkEnd w:id="57"/>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60"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8"/>
      <w:bookmarkEnd w:id="60"/>
      <w:proofErr w:type="spellEnd"/>
    </w:p>
    <w:p w:rsidR="007525D4" w:rsidRPr="009F2519" w:rsidRDefault="007525D4" w:rsidP="0057344F">
      <w:pPr>
        <w:spacing w:line="360" w:lineRule="exact"/>
        <w:ind w:firstLineChars="200" w:firstLine="420"/>
        <w:rPr>
          <w:rFonts w:ascii="宋体" w:hAnsi="宋体"/>
        </w:rPr>
      </w:pPr>
      <w:bookmarkStart w:id="61" w:name="酸的配制及浓度标定"/>
      <w:bookmarkEnd w:id="59"/>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2" w:name="_Toc261510888"/>
      <w:bookmarkStart w:id="63"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62"/>
      <w:bookmarkEnd w:id="63"/>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61"/>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4" w:name="_Toc261510889"/>
      <w:bookmarkStart w:id="65" w:name="_Toc402184280"/>
      <w:r w:rsidRPr="00F854A3">
        <w:rPr>
          <w:rFonts w:eastAsia="黑体"/>
          <w:b w:val="0"/>
          <w:i w:val="0"/>
        </w:rPr>
        <w:lastRenderedPageBreak/>
        <w:t>4</w:t>
      </w:r>
      <w:r w:rsidRPr="00EE3938">
        <w:rPr>
          <w:rFonts w:ascii="Arial" w:eastAsia="黑体" w:hAnsi="Arial" w:cs="Arial"/>
          <w:b w:val="0"/>
          <w:i w:val="0"/>
        </w:rPr>
        <w:t xml:space="preserve">  </w:t>
      </w:r>
      <w:bookmarkStart w:id="66" w:name="结果和讨论"/>
      <w:proofErr w:type="spellStart"/>
      <w:r w:rsidRPr="00EE3938">
        <w:rPr>
          <w:rFonts w:ascii="Arial" w:eastAsia="黑体" w:hAnsi="Arial" w:cs="Arial"/>
          <w:b w:val="0"/>
          <w:i w:val="0"/>
        </w:rPr>
        <w:t>结果和讨论</w:t>
      </w:r>
      <w:bookmarkEnd w:id="64"/>
      <w:bookmarkEnd w:id="65"/>
      <w:bookmarkEnd w:id="66"/>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7" w:name="_Toc261510890"/>
      <w:bookmarkStart w:id="68"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7"/>
      <w:bookmarkEnd w:id="68"/>
      <w:proofErr w:type="spellEnd"/>
    </w:p>
    <w:p w:rsidR="007525D4" w:rsidRPr="00EE3938" w:rsidRDefault="00D8125C" w:rsidP="0057344F">
      <w:pPr>
        <w:pStyle w:val="3"/>
        <w:spacing w:beforeLines="50" w:before="120" w:afterLines="50" w:after="120" w:line="360" w:lineRule="exact"/>
        <w:ind w:firstLineChars="196" w:firstLine="627"/>
        <w:rPr>
          <w:rFonts w:cs="Arial"/>
          <w:b w:val="0"/>
          <w:sz w:val="21"/>
          <w:szCs w:val="21"/>
        </w:rPr>
      </w:pPr>
      <w:bookmarkStart w:id="69" w:name="_Toc249606357"/>
      <w:bookmarkStart w:id="70" w:name="_Toc255729466"/>
      <w:bookmarkStart w:id="71" w:name="_Toc261510891"/>
      <w:bookmarkStart w:id="72"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D8125C" w:rsidRPr="00E37770" w:rsidRDefault="00D8125C" w:rsidP="0057344F">
                  <w:pPr>
                    <w:rPr>
                      <w:color w:val="0070C0"/>
                      <w:sz w:val="18"/>
                    </w:rPr>
                  </w:pPr>
                  <w:r w:rsidRPr="00E37770">
                    <w:rPr>
                      <w:color w:val="0070C0"/>
                      <w:sz w:val="18"/>
                    </w:rPr>
                    <w:t>三级以下单独占行标题采用A.</w:t>
                  </w:r>
                  <w:r w:rsidRPr="00E37770">
                    <w:rPr>
                      <w:color w:val="0070C0"/>
                      <w:sz w:val="18"/>
                    </w:rPr>
                    <w:t>、B.、C.和a.、b.、c.…或（1）、（2）、（3）和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D8125C" w:rsidRPr="00E37770" w:rsidRDefault="00D8125C"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w:t>
                  </w:r>
                  <w:r w:rsidRPr="00E37770">
                    <w:rPr>
                      <w:color w:val="0070C0"/>
                      <w:sz w:val="18"/>
                      <w:szCs w:val="18"/>
                    </w:rPr>
                    <w:t>段前0行，段后0行。</w:t>
                  </w:r>
                </w:p>
              </w:txbxContent>
            </v:textbox>
          </v:shape>
        </w:pict>
      </w:r>
      <w:bookmarkStart w:id="73"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9"/>
      <w:bookmarkEnd w:id="70"/>
      <w:bookmarkEnd w:id="71"/>
      <w:bookmarkEnd w:id="73"/>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8"/>
      <w:bookmarkStart w:id="75" w:name="_Toc255729467"/>
      <w:bookmarkStart w:id="76" w:name="_Toc261510892"/>
      <w:bookmarkStart w:id="77"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4"/>
      <w:bookmarkEnd w:id="75"/>
      <w:bookmarkEnd w:id="76"/>
      <w:bookmarkEnd w:id="77"/>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D8125C">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D8125C">
        <w:rPr>
          <w:rFonts w:ascii="Arial" w:eastAsia="黑体" w:hAnsi="Arial" w:cs="Arial"/>
          <w:kern w:val="0"/>
        </w:rPr>
        <w:pict>
          <v:shape id="_x0000_i103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5" type="#_x0000_t75" style="width:7.5pt;height:14.25pt" o:ole="">
            <v:imagedata r:id="rId24" o:title=""/>
          </v:shape>
          <o:OLEObject Type="Embed" ProgID="Equation.3" ShapeID="_x0000_i1035" DrawAspect="Content" ObjectID="_1556901172" r:id="rId25"/>
        </w:object>
      </w:r>
      <w:r w:rsidRPr="009F2519">
        <w:rPr>
          <w:kern w:val="0"/>
        </w:rPr>
        <w:fldChar w:fldCharType="begin"/>
      </w:r>
      <w:r w:rsidRPr="009F2519">
        <w:rPr>
          <w:kern w:val="0"/>
        </w:rPr>
        <w:instrText xml:space="preserve"> QUOTE </w:instrText>
      </w:r>
      <w:r w:rsidR="00D8125C">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9F2519">
        <w:rPr>
          <w:kern w:val="0"/>
        </w:rPr>
        <w:instrText xml:space="preserve"> </w:instrText>
      </w:r>
      <w:r w:rsidRPr="009F2519">
        <w:rPr>
          <w:kern w:val="0"/>
        </w:rPr>
        <w:fldChar w:fldCharType="separate"/>
      </w:r>
      <w:r w:rsidR="00D8125C">
        <w:rPr>
          <w:position w:val="-6"/>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D8125C">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D8125C">
        <w:rPr>
          <w:rFonts w:ascii="Arial" w:eastAsia="黑体" w:hAnsi="Arial" w:cs="Arial"/>
          <w:kern w:val="0"/>
        </w:rPr>
        <w:pict>
          <v:shape id="_x0000_i103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D8125C"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D8125C" w:rsidRDefault="00D8125C"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D8125C"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D8125C" w:rsidRPr="00FA5CED" w:rsidRDefault="00D8125C"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D8125C" w:rsidRPr="00677267" w:rsidRDefault="00D8125C"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D8125C"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D8125C" w:rsidRPr="00FA5CED" w:rsidRDefault="00D8125C" w:rsidP="0057344F">
                  <w:pPr>
                    <w:rPr>
                      <w:color w:val="0070C0"/>
                      <w:sz w:val="18"/>
                      <w:szCs w:val="18"/>
                    </w:rPr>
                  </w:pPr>
                  <w:r w:rsidRPr="00FA5CED">
                    <w:rPr>
                      <w:color w:val="0070C0"/>
                      <w:sz w:val="18"/>
                      <w:szCs w:val="18"/>
                    </w:rPr>
                    <w:t>（1）</w:t>
                  </w:r>
                  <w:r w:rsidRPr="00FA5CED">
                    <w:rPr>
                      <w:color w:val="0070C0"/>
                      <w:sz w:val="18"/>
                      <w:szCs w:val="18"/>
                    </w:rPr>
                    <w:t>表格上下与正文之间各空一行；（2）采用三线表，两端与页面对齐；</w:t>
                  </w:r>
                </w:p>
                <w:p w:rsidR="00D8125C" w:rsidRPr="00FA5CED" w:rsidRDefault="00D8125C"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w:t>
                  </w:r>
                  <w:r w:rsidRPr="00FA5CED">
                    <w:rPr>
                      <w:color w:val="0070C0"/>
                      <w:sz w:val="18"/>
                      <w:szCs w:val="18"/>
                    </w:rPr>
                    <w:t>段前0行，段后0行。</w:t>
                  </w:r>
                </w:p>
                <w:p w:rsidR="00D8125C" w:rsidRDefault="00D8125C"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4" o:title=""/>
                </v:shape>
                <o:OLEObject Type="Embed" ProgID="Equation.3" ShapeID="_x0000_i1040" DrawAspect="Content" ObjectID="_1556901173"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1" type="#_x0000_t75" style="width:7.5pt;height:14.25pt" o:ole="">
                  <v:imagedata r:id="rId24" o:title=""/>
                </v:shape>
                <o:OLEObject Type="Embed" ProgID="Equation.3" ShapeID="_x0000_i1041" DrawAspect="Content" ObjectID="_1556901174" r:id="rId28"/>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D8125C"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D8125C" w:rsidRPr="00FA5CED" w:rsidRDefault="00D8125C" w:rsidP="0057344F">
                  <w:pPr>
                    <w:rPr>
                      <w:color w:val="0070C0"/>
                      <w:sz w:val="18"/>
                      <w:szCs w:val="18"/>
                    </w:rPr>
                  </w:pPr>
                  <w:r w:rsidRPr="00FA5CED">
                    <w:rPr>
                      <w:color w:val="0070C0"/>
                      <w:sz w:val="18"/>
                      <w:szCs w:val="18"/>
                    </w:rPr>
                    <w:t>（1）</w:t>
                  </w:r>
                  <w:r w:rsidRPr="00FA5CED">
                    <w:rPr>
                      <w:color w:val="0070C0"/>
                      <w:sz w:val="18"/>
                      <w:szCs w:val="18"/>
                    </w:rPr>
                    <w:t>若表格分页，则该表第2页</w:t>
                  </w:r>
                  <w:r w:rsidRPr="00FA5CED">
                    <w:rPr>
                      <w:color w:val="0070C0"/>
                      <w:sz w:val="18"/>
                      <w:szCs w:val="18"/>
                    </w:rPr>
                    <w:t>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D8125C" w:rsidRPr="00FA5CED" w:rsidRDefault="00D8125C"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D8125C"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9"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D8125C" w:rsidRPr="00FA5CED" w:rsidRDefault="00D8125C" w:rsidP="0057344F">
                  <w:pPr>
                    <w:rPr>
                      <w:color w:val="0070C0"/>
                      <w:sz w:val="18"/>
                      <w:szCs w:val="18"/>
                    </w:rPr>
                  </w:pPr>
                  <w:r w:rsidRPr="00FA5CED">
                    <w:rPr>
                      <w:color w:val="0070C0"/>
                      <w:sz w:val="18"/>
                      <w:szCs w:val="18"/>
                    </w:rPr>
                    <w:t>（1）</w:t>
                  </w:r>
                  <w:r w:rsidRPr="00FA5CED">
                    <w:rPr>
                      <w:color w:val="0070C0"/>
                      <w:sz w:val="18"/>
                      <w:szCs w:val="18"/>
                    </w:rPr>
                    <w:t>图居中，上下与正文之间各空一行；</w:t>
                  </w:r>
                </w:p>
                <w:p w:rsidR="00D8125C" w:rsidRPr="00FA5CED" w:rsidRDefault="00D8125C"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w:t>
                  </w:r>
                  <w:r w:rsidRPr="00FA5CED">
                    <w:rPr>
                      <w:color w:val="0070C0"/>
                      <w:sz w:val="18"/>
                      <w:szCs w:val="18"/>
                    </w:rPr>
                    <w:t>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D8125C" w:rsidP="0057344F">
      <w:pPr>
        <w:spacing w:line="360" w:lineRule="exact"/>
        <w:jc w:val="center"/>
        <w:rPr>
          <w:kern w:val="0"/>
          <w:sz w:val="24"/>
        </w:rPr>
      </w:pPr>
      <w:r>
        <w:rPr>
          <w:kern w:val="0"/>
          <w:sz w:val="24"/>
        </w:rPr>
        <w:pict>
          <v:shape id="_x0000_i1042"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D8125C">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D8125C">
        <w:rPr>
          <w:rFonts w:ascii="Arial" w:eastAsia="黑体" w:hAnsi="Arial" w:cs="Arial"/>
          <w:position w:val="-8"/>
          <w:sz w:val="18"/>
          <w:szCs w:val="1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D8125C">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0E4DAC">
        <w:rPr>
          <w:kern w:val="0"/>
        </w:rPr>
        <w:instrText xml:space="preserve"> </w:instrText>
      </w:r>
      <w:r w:rsidRPr="000E4DAC">
        <w:rPr>
          <w:kern w:val="0"/>
        </w:rPr>
        <w:fldChar w:fldCharType="separate"/>
      </w:r>
      <w:r w:rsidR="00D8125C">
        <w:rPr>
          <w:position w:val="-8"/>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30"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D8125C">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0E4DAC">
        <w:rPr>
          <w:kern w:val="0"/>
        </w:rPr>
        <w:instrText xml:space="preserve"> </w:instrText>
      </w:r>
      <w:r w:rsidRPr="000E4DAC">
        <w:rPr>
          <w:kern w:val="0"/>
        </w:rPr>
        <w:fldChar w:fldCharType="separate"/>
      </w:r>
      <w:r w:rsidR="00D8125C">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6"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D8125C">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0E4DAC">
        <w:rPr>
          <w:kern w:val="0"/>
        </w:rPr>
        <w:instrText xml:space="preserve"> </w:instrText>
      </w:r>
      <w:r w:rsidRPr="000E4DAC">
        <w:rPr>
          <w:kern w:val="0"/>
        </w:rPr>
        <w:fldChar w:fldCharType="separate"/>
      </w:r>
      <w:r w:rsidR="00D8125C">
        <w:rPr>
          <w:position w:val="-6"/>
        </w:rPr>
        <w:pict>
          <v:shape id="_x0000_i1050"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3"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D8125C"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D8125C" w:rsidRPr="00FA5CED" w:rsidRDefault="00D8125C" w:rsidP="0057344F">
                  <w:pPr>
                    <w:rPr>
                      <w:color w:val="0070C0"/>
                      <w:sz w:val="18"/>
                    </w:rPr>
                  </w:pPr>
                  <w:r w:rsidRPr="00FA5CED">
                    <w:rPr>
                      <w:color w:val="0070C0"/>
                      <w:sz w:val="18"/>
                    </w:rPr>
                    <w:t>（1）</w:t>
                  </w:r>
                  <w:r w:rsidRPr="00FA5CED">
                    <w:rPr>
                      <w:color w:val="0070C0"/>
                      <w:sz w:val="18"/>
                    </w:rPr>
                    <w:t>插图</w:t>
                  </w:r>
                  <w:r w:rsidRPr="00FA5CED">
                    <w:rPr>
                      <w:color w:val="0070C0"/>
                      <w:sz w:val="18"/>
                    </w:rPr>
                    <w:t>应有图序和图题，全文插图以章分组编序号，图序必须连续，不得重复或跳缺。如图4.1表示第四章的第一幅图。</w:t>
                  </w:r>
                </w:p>
                <w:p w:rsidR="00D8125C" w:rsidRPr="00FA5CED" w:rsidRDefault="00D8125C"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8" w:name="_Toc249606359"/>
      <w:bookmarkStart w:id="79" w:name="_Toc255729468"/>
      <w:bookmarkStart w:id="80" w:name="_Toc261510893"/>
      <w:bookmarkStart w:id="81"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8"/>
      <w:bookmarkEnd w:id="79"/>
      <w:bookmarkEnd w:id="80"/>
      <w:bookmarkEnd w:id="81"/>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261510894"/>
      <w:bookmarkStart w:id="83"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82"/>
      <w:bookmarkEnd w:id="83"/>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4" w:name="_Toc261510896"/>
      <w:bookmarkStart w:id="85"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4"/>
      <w:bookmarkEnd w:id="8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6"/>
      <w:proofErr w:type="spellEnd"/>
    </w:p>
    <w:p w:rsidR="007525D4" w:rsidRPr="00D43968" w:rsidRDefault="007525D4" w:rsidP="0057344F">
      <w:pPr>
        <w:spacing w:line="360" w:lineRule="exact"/>
        <w:jc w:val="left"/>
      </w:pPr>
      <w:r>
        <w:rPr>
          <w:rFonts w:ascii="宋体" w:hAnsi="宋体"/>
        </w:rPr>
        <w:br w:type="page"/>
      </w:r>
    </w:p>
    <w:p w:rsidR="007525D4" w:rsidRPr="00EE3938" w:rsidRDefault="00D8125C" w:rsidP="0057344F">
      <w:pPr>
        <w:pStyle w:val="1"/>
        <w:spacing w:beforeLines="50" w:before="120" w:afterLines="50" w:after="120" w:line="360" w:lineRule="exact"/>
        <w:jc w:val="center"/>
        <w:rPr>
          <w:rFonts w:ascii="Arial" w:eastAsia="黑体" w:hAnsi="Arial" w:cs="Arial"/>
          <w:b w:val="0"/>
          <w:i w:val="0"/>
        </w:rPr>
      </w:pPr>
      <w:bookmarkStart w:id="87" w:name="_Toc261510897"/>
      <w:bookmarkEnd w:id="72"/>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D8125C" w:rsidRPr="00FA5CED" w:rsidRDefault="00D8125C"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r w:rsidRPr="00FA5CED">
                    <w:rPr>
                      <w:color w:val="0070C0"/>
                    </w:rPr>
                    <w:t>。</w:t>
                  </w:r>
                </w:p>
                <w:p w:rsidR="00D8125C" w:rsidRPr="00FA5CED" w:rsidRDefault="00D8125C" w:rsidP="0057344F">
                  <w:pPr>
                    <w:ind w:firstLineChars="350" w:firstLine="630"/>
                    <w:rPr>
                      <w:color w:val="0070C0"/>
                    </w:rPr>
                  </w:pPr>
                  <w:r w:rsidRPr="00FA5CED">
                    <w:rPr>
                      <w:color w:val="0070C0"/>
                      <w:sz w:val="18"/>
                      <w:szCs w:val="18"/>
                    </w:rPr>
                    <w:t>（2）</w:t>
                  </w:r>
                  <w:r w:rsidRPr="00FA5CED">
                    <w:rPr>
                      <w:color w:val="0070C0"/>
                    </w:rPr>
                    <w:t>…。</w:t>
                  </w:r>
                </w:p>
                <w:p w:rsidR="00D8125C" w:rsidRPr="00FA5CED" w:rsidRDefault="00D8125C"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8"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9" w:name="结论和展望"/>
      <w:proofErr w:type="spellStart"/>
      <w:r w:rsidR="007525D4" w:rsidRPr="00EE3938">
        <w:rPr>
          <w:rFonts w:ascii="Arial" w:eastAsia="黑体" w:hAnsi="Arial" w:cs="Arial"/>
          <w:b w:val="0"/>
          <w:i w:val="0"/>
        </w:rPr>
        <w:t>结论和展望</w:t>
      </w:r>
      <w:bookmarkEnd w:id="87"/>
      <w:bookmarkEnd w:id="88"/>
      <w:bookmarkEnd w:id="89"/>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8"/>
      <w:bookmarkStart w:id="91" w:name="_Toc402184289"/>
      <w:bookmarkStart w:id="92" w:name="结论"/>
      <w:r w:rsidRPr="00F854A3">
        <w:rPr>
          <w:rFonts w:eastAsia="黑体"/>
          <w:b w:val="0"/>
          <w:i w:val="0"/>
        </w:rPr>
        <w:t xml:space="preserve">5.1 </w:t>
      </w:r>
      <w:proofErr w:type="spellStart"/>
      <w:r w:rsidRPr="00EE3938">
        <w:rPr>
          <w:rFonts w:ascii="Arial" w:eastAsia="黑体" w:hAnsi="Arial" w:cs="Arial"/>
          <w:b w:val="0"/>
          <w:i w:val="0"/>
        </w:rPr>
        <w:t>结论</w:t>
      </w:r>
      <w:bookmarkEnd w:id="90"/>
      <w:bookmarkEnd w:id="91"/>
      <w:proofErr w:type="spellEnd"/>
    </w:p>
    <w:bookmarkEnd w:id="92"/>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93"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4" w:name="_Toc261510899"/>
      <w:bookmarkStart w:id="95"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4"/>
      <w:bookmarkEnd w:id="95"/>
      <w:proofErr w:type="spellEnd"/>
    </w:p>
    <w:bookmarkEnd w:id="93"/>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D8125C"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D8125C" w:rsidRPr="00FA5CED" w:rsidRDefault="00D8125C"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6" w:name="_Toc261510900"/>
      <w:r w:rsidR="00D8125C">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D8125C" w:rsidRDefault="00D8125C"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D8125C" w:rsidRDefault="00D8125C" w:rsidP="0057344F">
                  <w:pPr>
                    <w:pStyle w:val="afd"/>
                    <w:rPr>
                      <w:color w:val="0070C0"/>
                      <w:sz w:val="18"/>
                      <w:szCs w:val="18"/>
                    </w:rPr>
                  </w:pPr>
                </w:p>
                <w:p w:rsidR="00D8125C" w:rsidRDefault="00D8125C" w:rsidP="0057344F">
                  <w:pPr>
                    <w:rPr>
                      <w:color w:val="FF0000"/>
                      <w:sz w:val="18"/>
                    </w:rPr>
                  </w:pPr>
                </w:p>
              </w:txbxContent>
            </v:textbox>
          </v:shape>
        </w:pict>
      </w:r>
    </w:p>
    <w:p w:rsidR="007525D4" w:rsidRDefault="00D8125C" w:rsidP="0057344F">
      <w:pPr>
        <w:pStyle w:val="1"/>
        <w:spacing w:beforeLines="50" w:before="120" w:afterLines="50" w:after="120" w:line="360" w:lineRule="exact"/>
        <w:jc w:val="center"/>
        <w:rPr>
          <w:rFonts w:ascii="黑体" w:eastAsia="黑体" w:hAnsi="Arial" w:cs="Arial"/>
          <w:b w:val="0"/>
          <w:i w:val="0"/>
        </w:rPr>
      </w:pPr>
      <w:bookmarkStart w:id="97"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D8125C" w:rsidRDefault="00D8125C"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6"/>
      <w:bookmarkEnd w:id="97"/>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D8125C"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D8125C" w:rsidRDefault="00D8125C"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D8125C"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D8125C" w:rsidRDefault="00D8125C"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D8125C"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D8125C" w:rsidRDefault="00D8125C"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D8125C"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D8125C" w:rsidRDefault="00D8125C"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D8125C"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D8125C" w:rsidRDefault="00D8125C"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D8125C"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D8125C" w:rsidRDefault="00D8125C"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D8125C"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D8125C" w:rsidRDefault="00D8125C"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D8125C"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D8125C" w:rsidRDefault="00D8125C"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D8125C"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D8125C" w:rsidRDefault="00D8125C"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r>
                    <w:rPr>
                      <w:color w:val="0070C0"/>
                      <w:sz w:val="18"/>
                      <w:szCs w:val="20"/>
                    </w:rPr>
                    <w:t>序码加方括号，顶格书写。</w:t>
                  </w:r>
                </w:p>
                <w:p w:rsidR="00D8125C" w:rsidRDefault="00D8125C"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D8125C" w:rsidRPr="006E0CD6" w:rsidRDefault="00D8125C"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D8125C" w:rsidRDefault="00D8125C" w:rsidP="0057344F">
                  <w:pPr>
                    <w:rPr>
                      <w:color w:val="0070C0"/>
                      <w:sz w:val="18"/>
                    </w:rPr>
                  </w:pPr>
                </w:p>
              </w:txbxContent>
            </v:textbox>
          </v:shape>
        </w:pict>
      </w:r>
      <w:r w:rsidR="007525D4" w:rsidRPr="00D32651">
        <w:br w:type="page"/>
      </w:r>
      <w:bookmarkStart w:id="98"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9" w:name="_Toc261510901"/>
      <w:bookmarkStart w:id="100" w:name="_Toc402184292"/>
      <w:r w:rsidRPr="00EE3938">
        <w:rPr>
          <w:rFonts w:ascii="Arial" w:eastAsia="黑体" w:hAnsi="Arial" w:cs="Arial"/>
          <w:b w:val="0"/>
          <w:i w:val="0"/>
        </w:rPr>
        <w:lastRenderedPageBreak/>
        <w:t>谢</w:t>
      </w:r>
      <w:bookmarkEnd w:id="99"/>
      <w:r>
        <w:rPr>
          <w:rFonts w:ascii="Arial" w:eastAsia="黑体" w:hAnsi="Arial" w:cs="Arial" w:hint="eastAsia"/>
          <w:b w:val="0"/>
          <w:i w:val="0"/>
        </w:rPr>
        <w:t xml:space="preserve"> </w:t>
      </w:r>
      <w:r w:rsidRPr="00EE3938">
        <w:rPr>
          <w:rFonts w:ascii="Arial" w:eastAsia="黑体" w:hAnsi="Arial" w:cs="Arial" w:hint="eastAsia"/>
          <w:b w:val="0"/>
          <w:i w:val="0"/>
        </w:rPr>
        <w:t>辞</w:t>
      </w:r>
      <w:bookmarkEnd w:id="100"/>
    </w:p>
    <w:bookmarkEnd w:id="98"/>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D8125C"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D8125C" w:rsidRPr="00FA5CED" w:rsidRDefault="00D8125C"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1"/>
      <w:footerReference w:type="default" r:id="rId32"/>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DD" w:rsidRDefault="00EB3DDD">
      <w:r>
        <w:separator/>
      </w:r>
    </w:p>
  </w:endnote>
  <w:endnote w:type="continuationSeparator" w:id="0">
    <w:p w:rsidR="00EB3DDD" w:rsidRDefault="00EB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5C" w:rsidRPr="001934B9" w:rsidRDefault="00D8125C">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AD0E9C" w:rsidRPr="00AD0E9C">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5C" w:rsidRDefault="00D8125C"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AD0E9C">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AD0E9C">
      <w:rPr>
        <w:rStyle w:val="a8"/>
        <w:noProof/>
        <w:sz w:val="24"/>
        <w:szCs w:val="24"/>
      </w:rPr>
      <w:t>15</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DD" w:rsidRDefault="00EB3DDD">
      <w:r>
        <w:separator/>
      </w:r>
    </w:p>
  </w:footnote>
  <w:footnote w:type="continuationSeparator" w:id="0">
    <w:p w:rsidR="00EB3DDD" w:rsidRDefault="00EB3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装</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订</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线</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pPr>
    <w:r>
      <w:rPr>
        <w:rFonts w:ascii="宋体" w:hint="eastAsia"/>
      </w:rPr>
      <w:t>┊</w:t>
    </w:r>
  </w:p>
  <w:p w:rsidR="00D8125C" w:rsidRPr="002666F4" w:rsidRDefault="00D8125C">
    <w:pPr>
      <w:pStyle w:val="a6"/>
      <w:pBdr>
        <w:bottom w:val="single" w:sz="6" w:space="12" w:color="auto"/>
      </w:pBdr>
    </w:pPr>
  </w:p>
  <w:p w:rsidR="00D8125C" w:rsidRDefault="00D8125C">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D8125C" w:rsidRDefault="00D812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D8125C" w:rsidRDefault="00D8125C">
    <w:pPr>
      <w:pStyle w:val="a6"/>
      <w:pBdr>
        <w:bottom w:val="single" w:sz="6" w:space="12" w:color="auto"/>
      </w:pBdr>
      <w:jc w:val="right"/>
    </w:pPr>
  </w:p>
  <w:p w:rsidR="00D8125C" w:rsidRDefault="00D8125C">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D8125C" w:rsidRDefault="00D8125C">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装</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订</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线</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rPr>
        <w:rFonts w:ascii="宋体"/>
      </w:rPr>
    </w:pPr>
    <w:r>
      <w:rPr>
        <w:rFonts w:ascii="宋体" w:hint="eastAsia"/>
      </w:rPr>
      <w:t>┊</w:t>
    </w:r>
  </w:p>
  <w:p w:rsidR="00D8125C" w:rsidRDefault="00D8125C">
    <w:pPr>
      <w:framePr w:w="466" w:h="11551" w:hSpace="180" w:wrap="auto" w:vAnchor="text" w:hAnchor="page" w:x="831" w:y="151"/>
      <w:jc w:val="center"/>
    </w:pPr>
    <w:r>
      <w:rPr>
        <w:rFonts w:ascii="宋体" w:hint="eastAsia"/>
      </w:rPr>
      <w:t>┊</w:t>
    </w:r>
  </w:p>
  <w:p w:rsidR="00D8125C" w:rsidRPr="001934B9" w:rsidRDefault="00D8125C">
    <w:pPr>
      <w:pStyle w:val="a6"/>
      <w:pBdr>
        <w:bottom w:val="single" w:sz="6" w:space="12" w:color="auto"/>
      </w:pBdr>
    </w:pPr>
  </w:p>
  <w:p w:rsidR="00D8125C" w:rsidRDefault="00D8125C">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D8125C" w:rsidRDefault="00D8125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51.5pt;height:36pt;visibility:visible" o:ole="">
                      <v:imagedata r:id="rId1" o:title=""/>
                    </v:shape>
                  </w:pict>
                </w:r>
              </w:p>
            </w:txbxContent>
          </v:textbox>
        </v:rect>
      </w:pict>
    </w:r>
  </w:p>
  <w:p w:rsidR="00D8125C" w:rsidRDefault="00D8125C">
    <w:pPr>
      <w:pStyle w:val="a6"/>
      <w:pBdr>
        <w:bottom w:val="single" w:sz="6" w:space="12" w:color="auto"/>
      </w:pBdr>
      <w:jc w:val="right"/>
    </w:pPr>
  </w:p>
  <w:p w:rsidR="00D8125C" w:rsidRDefault="00D8125C">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D8125C" w:rsidRDefault="00D8125C">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06D60"/>
    <w:rsid w:val="000154E5"/>
    <w:rsid w:val="000245E5"/>
    <w:rsid w:val="000462A3"/>
    <w:rsid w:val="0004665C"/>
    <w:rsid w:val="00046B81"/>
    <w:rsid w:val="00064056"/>
    <w:rsid w:val="000977AE"/>
    <w:rsid w:val="000B6BE6"/>
    <w:rsid w:val="000D67E8"/>
    <w:rsid w:val="000F01ED"/>
    <w:rsid w:val="000F2E9D"/>
    <w:rsid w:val="000F3A78"/>
    <w:rsid w:val="00100098"/>
    <w:rsid w:val="00112443"/>
    <w:rsid w:val="0011612D"/>
    <w:rsid w:val="00117BF5"/>
    <w:rsid w:val="00132FB4"/>
    <w:rsid w:val="00147C5F"/>
    <w:rsid w:val="00190330"/>
    <w:rsid w:val="001A07ED"/>
    <w:rsid w:val="001A7F76"/>
    <w:rsid w:val="001B0039"/>
    <w:rsid w:val="001D58E7"/>
    <w:rsid w:val="0021160F"/>
    <w:rsid w:val="00212A5F"/>
    <w:rsid w:val="00213EA9"/>
    <w:rsid w:val="00240213"/>
    <w:rsid w:val="002438D6"/>
    <w:rsid w:val="00243E8C"/>
    <w:rsid w:val="00264BEE"/>
    <w:rsid w:val="002738DE"/>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1C22"/>
    <w:rsid w:val="00326C19"/>
    <w:rsid w:val="00344590"/>
    <w:rsid w:val="00345BA5"/>
    <w:rsid w:val="00347006"/>
    <w:rsid w:val="00356A21"/>
    <w:rsid w:val="00361CD7"/>
    <w:rsid w:val="00371F87"/>
    <w:rsid w:val="0037401F"/>
    <w:rsid w:val="00381604"/>
    <w:rsid w:val="00387F85"/>
    <w:rsid w:val="003915A3"/>
    <w:rsid w:val="0040245B"/>
    <w:rsid w:val="00407932"/>
    <w:rsid w:val="004109CE"/>
    <w:rsid w:val="004113D7"/>
    <w:rsid w:val="004141BE"/>
    <w:rsid w:val="00420238"/>
    <w:rsid w:val="00430620"/>
    <w:rsid w:val="0043730C"/>
    <w:rsid w:val="00437728"/>
    <w:rsid w:val="004421BD"/>
    <w:rsid w:val="00474797"/>
    <w:rsid w:val="00474915"/>
    <w:rsid w:val="00491FC5"/>
    <w:rsid w:val="0049630E"/>
    <w:rsid w:val="004A4462"/>
    <w:rsid w:val="004B4A7A"/>
    <w:rsid w:val="004C698F"/>
    <w:rsid w:val="004F1ED7"/>
    <w:rsid w:val="00501717"/>
    <w:rsid w:val="005048CB"/>
    <w:rsid w:val="00520EA8"/>
    <w:rsid w:val="00523E10"/>
    <w:rsid w:val="0053472E"/>
    <w:rsid w:val="00535513"/>
    <w:rsid w:val="00536756"/>
    <w:rsid w:val="00552B67"/>
    <w:rsid w:val="00553231"/>
    <w:rsid w:val="00560833"/>
    <w:rsid w:val="00561C12"/>
    <w:rsid w:val="0057344F"/>
    <w:rsid w:val="005859E3"/>
    <w:rsid w:val="00592DC0"/>
    <w:rsid w:val="00594691"/>
    <w:rsid w:val="005A0D5A"/>
    <w:rsid w:val="005A2115"/>
    <w:rsid w:val="005A65D0"/>
    <w:rsid w:val="005B688E"/>
    <w:rsid w:val="005C2444"/>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A6C8C"/>
    <w:rsid w:val="007B2C02"/>
    <w:rsid w:val="007B7210"/>
    <w:rsid w:val="007B7DF1"/>
    <w:rsid w:val="007C1751"/>
    <w:rsid w:val="008256AB"/>
    <w:rsid w:val="00842C2D"/>
    <w:rsid w:val="00843807"/>
    <w:rsid w:val="00897635"/>
    <w:rsid w:val="008A3907"/>
    <w:rsid w:val="0090287E"/>
    <w:rsid w:val="00904754"/>
    <w:rsid w:val="0091364D"/>
    <w:rsid w:val="00916F03"/>
    <w:rsid w:val="009214C5"/>
    <w:rsid w:val="00925FA6"/>
    <w:rsid w:val="00940169"/>
    <w:rsid w:val="00941C32"/>
    <w:rsid w:val="0095731D"/>
    <w:rsid w:val="00966AB9"/>
    <w:rsid w:val="00984FDB"/>
    <w:rsid w:val="00997D09"/>
    <w:rsid w:val="009B112D"/>
    <w:rsid w:val="009D64A6"/>
    <w:rsid w:val="009E7E50"/>
    <w:rsid w:val="009F252C"/>
    <w:rsid w:val="009F4268"/>
    <w:rsid w:val="00A02860"/>
    <w:rsid w:val="00A04D45"/>
    <w:rsid w:val="00A214D0"/>
    <w:rsid w:val="00A2466C"/>
    <w:rsid w:val="00A33695"/>
    <w:rsid w:val="00A33887"/>
    <w:rsid w:val="00A42A11"/>
    <w:rsid w:val="00A84FC6"/>
    <w:rsid w:val="00A93927"/>
    <w:rsid w:val="00AB15B6"/>
    <w:rsid w:val="00AB458E"/>
    <w:rsid w:val="00AD0E9C"/>
    <w:rsid w:val="00AD7B09"/>
    <w:rsid w:val="00AE60C8"/>
    <w:rsid w:val="00B36F17"/>
    <w:rsid w:val="00B461CE"/>
    <w:rsid w:val="00B82031"/>
    <w:rsid w:val="00BA0F32"/>
    <w:rsid w:val="00BB2575"/>
    <w:rsid w:val="00BD38F4"/>
    <w:rsid w:val="00BE0AEC"/>
    <w:rsid w:val="00BF33D8"/>
    <w:rsid w:val="00BF554A"/>
    <w:rsid w:val="00BF68AD"/>
    <w:rsid w:val="00C11844"/>
    <w:rsid w:val="00C2287D"/>
    <w:rsid w:val="00C2576E"/>
    <w:rsid w:val="00C5150E"/>
    <w:rsid w:val="00C52D3F"/>
    <w:rsid w:val="00C560D1"/>
    <w:rsid w:val="00C62AA4"/>
    <w:rsid w:val="00C72CB2"/>
    <w:rsid w:val="00C7300C"/>
    <w:rsid w:val="00C774A1"/>
    <w:rsid w:val="00C91FBB"/>
    <w:rsid w:val="00CA30DA"/>
    <w:rsid w:val="00CA5ACD"/>
    <w:rsid w:val="00CB04BE"/>
    <w:rsid w:val="00CC43FF"/>
    <w:rsid w:val="00CE019C"/>
    <w:rsid w:val="00CE70FA"/>
    <w:rsid w:val="00CE7707"/>
    <w:rsid w:val="00D027EA"/>
    <w:rsid w:val="00D2548D"/>
    <w:rsid w:val="00D325E1"/>
    <w:rsid w:val="00D51682"/>
    <w:rsid w:val="00D60D67"/>
    <w:rsid w:val="00D6335D"/>
    <w:rsid w:val="00D8125C"/>
    <w:rsid w:val="00D86008"/>
    <w:rsid w:val="00DA4688"/>
    <w:rsid w:val="00DC7C7D"/>
    <w:rsid w:val="00E17A39"/>
    <w:rsid w:val="00E22469"/>
    <w:rsid w:val="00E44368"/>
    <w:rsid w:val="00E61031"/>
    <w:rsid w:val="00E668C6"/>
    <w:rsid w:val="00E71C5C"/>
    <w:rsid w:val="00EA4C60"/>
    <w:rsid w:val="00EB3DDD"/>
    <w:rsid w:val="00EE0825"/>
    <w:rsid w:val="00EE763E"/>
    <w:rsid w:val="00F13859"/>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29"/>
        <o:r id="V:Rule2" type="callout" idref="#_x0000_s1027"/>
        <o:r id="V:Rule3" type="callout" idref="#_x0000_s1028"/>
        <o:r id="V:Rule4" type="callout" idref="#_x0000_s1030"/>
        <o:r id="V:Rule5" type="callout" idref="#_x0000_s1040"/>
        <o:r id="V:Rule6" type="callout" idref="#_x0000_s1041"/>
        <o:r id="V:Rule7" type="callout" idref="#_x0000_s1054"/>
        <o:r id="V:Rule8" type="callout" idref="#_x0000_s1042"/>
        <o:r id="V:Rule9" type="callout" idref="#_x0000_s1052"/>
        <o:r id="V:Rule10" type="callout" idref="#_x0000_s1043"/>
        <o:r id="V:Rule11" type="callout" idref="#_x0000_s1053"/>
        <o:r id="V:Rule12" type="callout" idref="#_x0000_s1045"/>
        <o:r id="V:Rule13" type="callout" idref="#_x0000_s1044"/>
        <o:r id="V:Rule14" type="callout" idref="#_x0000_s1046"/>
        <o:r id="V:Rule15" type="callout" idref="#_x0000_s1047"/>
        <o:r id="V:Rule16" type="callout" idref="#_x0000_s1048"/>
        <o:r id="V:Rule17" type="callout" idref="#_x0000_s1049"/>
        <o:r id="V:Rule18" type="callout" idref="#_x0000_s1050"/>
        <o:r id="V:Rule19" type="callout" idref="#_x0000_s1064"/>
        <o:r id="V:Rule20" type="callout" idref="#_x0000_s1065"/>
        <o:r id="V:Rule21" type="callout" idref="#_x0000_s1066"/>
        <o:r id="V:Rule22" type="callout" idref="#_x0000_s1058"/>
        <o:r id="V:Rule23" type="callout" idref="#_x0000_s1060"/>
        <o:r id="V:Rule24" type="callout" idref="#_x0000_s1067"/>
        <o:r id="V:Rule25" type="callout" idref="#_x0000_s1061"/>
        <o:r id="V:Rule26" type="callout" idref="#_x0000_s1062"/>
        <o:r id="V:Rule27" type="callout" idref="#_x0000_s1059"/>
        <o:r id="V:Rule28" type="callout" idref="#_x0000_s1068"/>
        <o:r id="V:Rule29" type="callout" idref="#_x0000_s1063"/>
        <o:r id="V:Rule30" type="callout" idref="#_x0000_s1051"/>
      </o:rules>
    </o:shapelayout>
  </w:shapeDefaults>
  <w:decimalSymbol w:val="."/>
  <w:listSeparator w:val=","/>
  <w14:docId w14:val="772D6F6D"/>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paragraph" w:customStyle="1" w:styleId="GP-fb">
    <w:name w:val="GP-五级标题"/>
    <w:basedOn w:val="GP-f5"/>
    <w:link w:val="GP-fc"/>
    <w:qFormat/>
    <w:rsid w:val="007A6C8C"/>
    <w:pPr>
      <w:spacing w:line="360" w:lineRule="exact"/>
      <w:outlineLvl w:val="4"/>
      <w15:collapsed/>
    </w:pPr>
  </w:style>
  <w:style w:type="character" w:customStyle="1" w:styleId="GP-fa">
    <w:name w:val="GP-插图标题 字符"/>
    <w:basedOn w:val="a1"/>
    <w:link w:val="GP-f9"/>
    <w:rsid w:val="00BF33D8"/>
    <w:rPr>
      <w:rFonts w:eastAsia="黑体"/>
      <w:sz w:val="18"/>
    </w:rPr>
  </w:style>
  <w:style w:type="character" w:customStyle="1" w:styleId="GP-fc">
    <w:name w:val="GP-五级标题 字符"/>
    <w:basedOn w:val="GP-f6"/>
    <w:link w:val="GP-fb"/>
    <w:rsid w:val="007A6C8C"/>
    <w:rPr>
      <w:rFonts w:eastAsia="黑体"/>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9.bin"/><Relationship Id="rId10" Type="http://schemas.openxmlformats.org/officeDocument/2006/relationships/footer" Target="footer1.xml"/><Relationship Id="rId19" Type="http://schemas.openxmlformats.org/officeDocument/2006/relationships/image" Target="media/image7.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F4BE-A413-4AA2-BC2C-D4C642B8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18</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145</cp:revision>
  <dcterms:created xsi:type="dcterms:W3CDTF">2017-05-06T09:22:00Z</dcterms:created>
  <dcterms:modified xsi:type="dcterms:W3CDTF">2017-05-21T11:45:00Z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