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GrantScout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Honest grant discovery and drafting for African NGOs and social enterprises. An ADK 2.0 multi-agent pipeline that finds grants you can actually win, drafts the two highest-value application sections, and pauses for human review. It surfaces eligibility gaps honestly and never submits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33333" w:sz="16"/>
              <w:bottom w:val="none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Competition: </w:t>
            </w:r>
            <w:r>
              <w:t xml:space="preserve">AI Agents: Intensive Vibe Coding Capstone Project (Kaggle)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Track: </w:t>
            </w:r>
            <w:r>
              <w:t xml:space="preserve">Agents for Good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Deadline: </w:t>
            </w:r>
            <w:r>
              <w:t xml:space="preserve">Monday, July 6, 2026, 11:59 PM PT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Video: </w:t>
            </w:r>
            <w:r>
              <w:t xml:space="preserve">[PASTE YOUTUBE LINK]</w:t>
            </w:r>
            <w:r>
              <w:t xml:space="preserve">   </w:t>
            </w:r>
            <w:r>
              <w:rPr>
                <w:b/>
                <w:bCs/>
              </w:rPr>
              <w:t xml:space="preserve">Code: </w:t>
            </w:r>
            <w:r>
              <w:t xml:space="preserve">[PASTE PUBLIC GITHUB REPO LINK]</w:t>
            </w:r>
          </w:p>
        </w:tc>
      </w:tr>
    </w:tbl>
    <w:p>
      <w:pPr>
        <w:spacing w:after="240"/>
      </w:pPr>
    </w:p>
    <w:p>
      <w:pPr>
        <w:spacing w:after="60" w:before="16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GrantScout cover image" descr="GrantScout cover image" title="GrantScou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Cover image for the Kaggle media gallery (submission/screenshots/cover_image.png).</w:t>
      </w:r>
    </w:p>
    <w:p>
      <w:r>
        <w:br w:type="page"/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African NGOs, community-based organizations, and social enterprises run on grant funding, but unlike the US (Grants.gov), there is no single free official African-grants API. Real funding opportunities are abundant yet scattered across newsletters, blog roundups, and gated platforms. Two failures follow: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Discovery is hard. </w:t>
      </w:r>
      <w:r>
        <w:t xml:space="preserve">Finding opportunities you actually qualify for means trawling many sources by hand, every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Honesty is rare. </w:t>
      </w:r>
      <w:r>
        <w:t xml:space="preserve">Tools and hopeful humans alike over-state readiness. A three-person community organization that spends three weeks writing a proposal for a funder that requires audited accounts it does not have has been actively harmed by whoever told it “looks like a great fit!”. For small organizations, wasted proposal-writing time is the scarcest resource they have.</w:t>
      </w:r>
    </w:p>
    <w:p>
      <w:pPr>
        <w:spacing w:after="120"/>
      </w:pPr>
      <w:r>
        <w:t xml:space="preserve">The second failure is the one almost nobody builds for, because optimism demos better. GrantScout is built around fixing it.</w:t>
      </w:r>
    </w:p>
    <w:p>
      <w:pPr>
        <w:pStyle w:val="Heading1"/>
      </w:pPr>
      <w:r>
        <w:t xml:space="preserve">Why agents?</w:t>
      </w:r>
    </w:p>
    <w:p>
      <w:pPr>
        <w:spacing w:after="120"/>
      </w:pPr>
      <w:r>
        <w:t xml:space="preserve">This problem is genuinely agentic: it needs (a) tool calls against a structured catalog and, optionally, the live web; (b) multi-step reasoning that turns a messy organizational profile into ranked, explained matches and grounded draft text; and (c) a hard requirement that a human stays in control of anything consequential. A single prompt cannot do this; a pipeline of specialized agents with tools, deterministic checks, and a real human-in-the-loop pause can.</w:t>
      </w:r>
    </w:p>
    <w:p>
      <w:pPr>
        <w:spacing w:after="120"/>
      </w:pPr>
      <w:r>
        <w:t xml:space="preserve">Equally important is what the agent must </w:t>
      </w:r>
      <w:r>
        <w:rPr>
          <w:b/>
          <w:bCs/>
        </w:rPr>
        <w:t xml:space="preserve">not</w:t>
      </w:r>
      <w:r>
        <w:t xml:space="preserve"> do. Grant applications are high-stakes, so GrantScout is deliberately a drafting copilot with brakes: the LLM never decides eligibility, every unverifiable fact is an explicit [ORG TO PROVIDE] marker rather than an invention, and the system never submits anything anywhere.</w:t>
      </w:r>
    </w:p>
    <w:p>
      <w:pPr>
        <w:pStyle w:val="Heading1"/>
      </w:pPr>
      <w:r>
        <w:t xml:space="preserve">The solution</w:t>
      </w:r>
    </w:p>
    <w:p>
      <w:pPr>
        <w:spacing w:after="120"/>
      </w:pPr>
      <w:r>
        <w:t xml:space="preserve">GrantScout consolidates 30 real, source-attributed African funding opportunities from public roundups (AfricanNGOs.org, FundsforNGOs, GlobalGiving/Instrumentl, Africa-Grants.com) into one queryable MCP catalog. That consolidation is itself a contribution, since no such free API exists. On top of it runs a four-node ADK 2.0 workflow: researcher, matcher, drafter, review gate.</w:t>
      </w:r>
    </w:p>
    <w:p>
      <w:pPr>
        <w:spacing w:after="120"/>
      </w:pPr>
      <w:r>
        <w:t xml:space="preserve">The user describes their organization once (type, country, years operating, governance, focus areas, mission). GrantScout returns ranked matches where fit and eligibility are scored separately, drafts a Problem Statement and a Funder Alignment section for the grants worth pursuing, and pauses at a real human review gate where each section can be approved, edited inline, or rejected. The finalized package exports to Word (.docx) and is stamped “submitted: false”.</w:t>
      </w:r>
    </w:p>
    <w:p>
      <w:pPr>
        <w:pStyle w:val="Heading1"/>
      </w:pPr>
      <w:r>
        <w:t xml:space="preserve">Architecture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952625"/>
            <wp:effectExtent t="0" r="0" b="0" l="0"/>
            <wp:docPr id="1" name="GrantScout architecture diagram" descr="GrantScout architecture diagram" title="GrantScout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The ADK 2.0 workflow graph with its MCP tools, deterministic eligibility engine, and security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ADK 2.0 Workflow graph</w:t>
      </w:r>
      <w:r>
        <w:t xml:space="preserve"> (grantscout/agent.py): a straight spine, START → researcher → matcher → drafter → review_gate, built with google-adk 2.3.0 and wrapped in an App with ResumabilityConfig(is_resumable=True) so the human-in-the-loop pause can genuinely suspend and resume the graph.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researcher</w:t>
      </w:r>
      <w:r>
        <w:t xml:space="preserve"> normalizes the profile and PII-scrubs all free text (emails, phone numbers, embedded credentials) before any LLM or trace sees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matcher</w:t>
      </w:r>
      <w:r>
        <w:t xml:space="preserve"> calls the search_grants tool, scores focus-area fit and eligibility independently, and ranks honestly: an eligible grant outranks a higher-fit grant the organization cannot win.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drafter</w:t>
      </w:r>
      <w:r>
        <w:t xml:space="preserve"> produces two grounded sections per selected grant. Anything the organization must supply (beneficiary numbers, budgets, evidence) is an explicit [ORG TO PROVIDE] marker; the LLM is used only to polish prose, and a guard rejects any polish that drops a marker.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review_gate</w:t>
      </w:r>
      <w:r>
        <w:t xml:space="preserve"> is a real ADK RequestInput pause (a FunctionNode with rerun_on_resume=True). The human decision resumes the graph, and this node is the only writer of state.finalized.</w:t>
      </w:r>
    </w:p>
    <w:p>
      <w:pPr>
        <w:pStyle w:val="Heading2"/>
      </w:pPr>
      <w:r>
        <w:t xml:space="preserve">MCP server</w:t>
      </w:r>
    </w:p>
    <w:p>
      <w:pPr>
        <w:spacing w:after="120"/>
      </w:pPr>
      <w:r>
        <w:t xml:space="preserve">mcp_server/server.py (FastMCP, stdio) exposes two tools: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search_grants(focus_areas, country, org_type, max_deadline)</w:t>
      </w:r>
      <w:r>
        <w:t xml:space="preserve"> filters the curated catalog. Each grant carries structured eligibility_requirements ({code, value, label} records) so eligibility can be decided deterministically, plus a source attribution and funder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discover_grants(focus_areas, country)</w:t>
      </w:r>
      <w:r>
        <w:t xml:space="preserve"> is an optional live-web freshness layer over public roundup pages. Every fetched description is screened for prompt injection and scrubbed of PII before it is returned; it is off by default and fails closed so it can never break the catalog spine.</w:t>
      </w:r>
    </w:p>
    <w:p>
      <w:pPr>
        <w:spacing w:after="120"/>
      </w:pPr>
      <w:r>
        <w:t xml:space="preserve">The same implementations back both the MCP server and the in-process matcher, so the tool contract is identical over MCP or direct calls.</w:t>
      </w:r>
    </w:p>
    <w:p>
      <w:pPr>
        <w:pStyle w:val="Heading2"/>
      </w:pPr>
      <w:r>
        <w:t xml:space="preserve">The honesty mechanism (the most important part)</w:t>
      </w:r>
    </w:p>
    <w:p>
      <w:pPr>
        <w:spacing w:after="120"/>
      </w:pPr>
      <w:r>
        <w:t xml:space="preserve">Eligibility pass/fail is decided in plain Python (grantscout/eligibility.py), </w:t>
      </w:r>
      <w:r>
        <w:rPr>
          <w:b/>
          <w:bCs/>
        </w:rPr>
        <w:t xml:space="preserve">never by the LLM</w:t>
      </w:r>
      <w:r>
        <w:t xml:space="preserve">. Whether an organization meets a funder’s hard requirements (right org type, in-scope country, legally registered, 3+ years operating, audited accounts, functioning board) is a factual, checkable question. Language models reliably round up: they tell a hopeful NGO it “looks eligible” because the framing rewards optimism. That is precisely the failure this project exists to avoid, so the verdict lives where it is auditable, unit-tested, and cannot be talked into a yes. The LLM only explains gaps in plain language.</w:t>
      </w:r>
    </w:p>
    <w:p>
      <w:pPr>
        <w:spacing w:after="120"/>
      </w:pPr>
      <w:r>
        <w:t xml:space="preserve">There are three honest outcomes: eligible (meets every hard requirement), gaps (fails a fixable requirement; “not yet eligible” with a concrete action list), and ineligible (fails a structural one; stated plainly, ranked last). The screenshots below show the mechanism working: WaterAid and the Conrad N. Hilton Safe Water Initiative come back at 100% focus fit but ranked last, each with the exact fixes shown. A conventional matcher would have put those two at the top and cost the organization weeks.</w:t>
      </w:r>
    </w:p>
    <w:p>
      <w:pPr>
        <w:pStyle w:val="Heading2"/>
      </w:pPr>
      <w:r>
        <w:t xml:space="preserve">Security</w:t>
      </w:r>
    </w:p>
    <w:p>
      <w:pPr>
        <w:spacing w:after="120"/>
      </w:pPr>
      <w:r>
        <w:t xml:space="preserve">grantscout/security.py implements defense in depth: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Secrets via environment only. </w:t>
      </w:r>
      <w:r>
        <w:t xml:space="preserve">No keys in code or git; .env is gitignored and the repo was scanned for key patterns before publishing.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Input validation at the MCP boundary. </w:t>
      </w:r>
      <w:r>
        <w:t xml:space="preserve">Malformed tool payloads are rejected with ValueError.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PII scrubbing. </w:t>
      </w:r>
      <w:r>
        <w:t xml:space="preserve">Emails, phone numbers, and URL-embedded credentials are redacted before text reaches an LLM or a trace, in the researcher and on all discovered web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Prompt-injection screening on untrusted web data. </w:t>
      </w:r>
      <w:r>
        <w:t xml:space="preserve">Adversarial instructions in fetched grant descriptions are detected and neutralized as inert UNTRUSTED_DATA (quote-and-flag, never obey), with tests covering both directions.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Least privilege. </w:t>
      </w:r>
      <w:r>
        <w:t xml:space="preserve">Each node calls only the tools it needs; only the review gate can finalize; the agent has no submission capability at all.</w:t>
      </w:r>
    </w:p>
    <w:p>
      <w:r>
        <w:br w:type="page"/>
      </w:r>
    </w:p>
    <w:p>
      <w:pPr>
        <w:pStyle w:val="Heading1"/>
      </w:pPr>
      <w:r>
        <w:t xml:space="preserve">The product (screenshots)</w:t>
      </w:r>
    </w:p>
    <w:p>
      <w:pPr>
        <w:spacing w:after="120"/>
      </w:pPr>
      <w:r>
        <w:t xml:space="preserve">Everything below runs locally with no API key: uv pip install -e ".[dev,web]", then uv run python run_web.py. With no key, the reasoning nodes use deterministic fallbacks so the catalog + eligibility + review-gate spine works end-to-end offline; setting GOOGLE_API_KEY lights up the Gemini prose path (with 429-aware retry and quota-conscious batching). The MCP server also runs standalone (python -m mcp_server.server), and the hermetic test suite (39 tests) covers eligibility edge cases, honest ranking, both security screens, catalog integrity, discovery screening, and the review gate.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Org profile form" descr="Org profile form" title="Org profil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Step 1: the organization profile. The governance switches are deliberately honest inputs; leaving one off becomes a visible gap, not a hidden lie.</w:t>
      </w:r>
    </w:p>
    <w:p>
      <w:pPr>
        <w:spacing w:after="60" w:before="160"/>
        <w:jc w:val="center"/>
      </w:pPr>
      <w:r>
        <w:drawing>
          <wp:inline distT="0" distB="0" distL="0" distR="0">
            <wp:extent cx="4810125" cy="7429500"/>
            <wp:effectExtent t="0" r="0" b="0" l="0"/>
            <wp:docPr id="1" name="Ranked matches with honesty banner" descr="Ranked matches with honesty banner" title="Ranked matches with honesty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Step 2: ranked matches. Fit and eligibility are scored separately. The honesty banner explains why two 100%-focus-fit WASH funders are ranked last: the org is two years old and lacks audited accounts, and each card lists exactly what to fix.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5657850"/>
            <wp:effectExtent t="0" r="0" b="0" l="0"/>
            <wp:docPr id="1" name="Draft sections at the human review gate" descr="Draft sections at the human review gate" title="Draft sections at the human review 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Step 3: drafted sections at the human-in-the-loop gate. Every unverifiable fact is a highlighted [ORG TO PROVIDE] marker; the human can approve, edit inline, or reject each section.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90875"/>
            <wp:effectExtent t="0" r="0" b="0" l="0"/>
            <wp:docPr id="1" name="Finalized package, not submitted" descr="Finalized package, not submitted" title="Finalized package, not submit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5. Step 4: the finalized package after review (3 approved, 1 rejected), stamped NOT SUBMITTED, with Word (.docx) downloads per grant.</w:t>
      </w:r>
    </w:p>
    <w:p>
      <w:r>
        <w:br w:type="page"/>
      </w:r>
    </w:p>
    <w:p>
      <w:pPr>
        <w:pStyle w:val="Heading1"/>
      </w:pPr>
      <w:r>
        <w:t xml:space="preserve">Course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/>
              <w:left w:val="none"/>
              <w:bottom w:val="single" w:color="333333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333333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Where it is demonstrated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/ multi-agent system (ADK)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grantscout/agent.py: ADK 2.0 Workflow graph of four nodes with resumability (code)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server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mcp_server/server.py: FastMCP with search_grants + discover_grants over stdio (code)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features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grantscout/security.py + tests: PII scrub, injection screen, validation, env-only secrets, least privilege (code)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Human-in-the-loop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grantscout/nodes/review_gate.py: real RequestInput pause/resume (code + video)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skills / Agents CLI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scaffolded and managed with agents-cli (agents-cli-manifest.yaml, Agent Runtime target) (code + video)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Antigravity</w:t>
            </w:r>
          </w:p>
        </w:tc>
        <w:tc>
          <w:tcPr>
            <w:tcW w:type="dxa" w:w="6360"/>
            <w:tcBorders>
              <w:top w:val="none"/>
              <w:left w:val="none"/>
              <w:bottom w:val="single" w:color="E0E0E0" w:sz="1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Google-tooling phase built in Antigravity; shown in the video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The build (vibe coding journey)</w:t>
      </w:r>
    </w:p>
    <w:p>
      <w:pPr>
        <w:spacing w:after="120"/>
      </w:pPr>
      <w:r>
        <w:t xml:space="preserve">GrantScout was built in two deliberate phases, entirely through vibe coding with AI coding agents. Phase 1 produced everything machine-independent: the graph, MCP server, curated catalog, deterministic eligibility engine, security utilities, both UIs, and the test suite, written against a spec (grantscout.spec.yaml) with a factual handoff document (PHASE1_HANDOFF.md) recording every deviation discovered along the way, such as the real ADK 2.x import paths and why rerun_on_resume=True is required for the resume to write finalized state. Phase 2, in Antigravity with the Google Agents CLI, wired up the Google tooling: real Gemini calls with quota-aware retry, agents-cli scaffolding with an Agent Runtime deployment target, and the demo captured in the video. The two-phase, spec-and-handoff workflow is itself a vibe-coding practice worth recommending: it kept the honest-by-construction core testable and offline, and made the cloud integration a thin, verifiable layer on top.</w:t>
      </w:r>
    </w:p>
    <w:p>
      <w:pPr>
        <w:pStyle w:val="Heading1"/>
      </w:pPr>
      <w:r>
        <w:t xml:space="preserve">Limitations and next steps</w:t>
      </w:r>
    </w:p>
    <w:p>
      <w:pPr>
        <w:spacing w:after="120"/>
      </w:pPr>
      <w:r>
        <w:t xml:space="preserve">The catalog is curated, not live; entries carry source attributions and funder URLs, and users are told to verify current deadlines at the source. discover_grants is best-effort freshness, not coverage. Next steps: scheduled catalog refresh with human review, more grant sections (budget narrative, monitoring and evaluation), country-specific compliance checklists, and partnerships with the roundup publishers whose public work the catalog credits.</w:t>
      </w:r>
    </w:p>
    <w:p>
      <w:pPr>
        <w:spacing w:after="120"/>
      </w:pPr>
      <w:r>
        <w:t xml:space="preserve">GrantScout’s core claim is simple: for organizations whose scarcest resource is time, </w:t>
      </w:r>
      <w:r>
        <w:rPr>
          <w:b/>
          <w:bCs/>
        </w:rPr>
        <w:t xml:space="preserve">an honest “not yet, and here’s what to fix” is worth more than a flattering maybe</w:t>
      </w:r>
      <w:r>
        <w:t xml:space="preserve">, and building that honesty into the architecture, rather than the prompt, is what makes an agent trustworthy enough to help.</w:t>
      </w:r>
    </w:p>
    <w:p>
      <w:r>
        <w:br w:type="page"/>
      </w:r>
    </w:p>
    <w:p>
      <w:pPr>
        <w:pStyle w:val="Heading1"/>
      </w:pPr>
      <w:r>
        <w:t xml:space="preserve">Remaining steps before the deadline</w:t>
      </w:r>
    </w:p>
    <w:p>
      <w:pPr>
        <w:spacing w:after="120"/>
      </w:pPr>
      <w:r>
        <w:t xml:space="preserve">These require accounts only you control. Full details in </w:t>
      </w:r>
      <w:r>
        <w:rPr>
          <w:rFonts w:ascii="Consolas" w:cs="Consolas" w:eastAsia="Consolas" w:hAnsi="Consolas"/>
          <w:sz w:val="20"/>
          <w:szCs w:val="20"/>
        </w:rPr>
        <w:t xml:space="preserve">submission/SUBMISSION_CHECKLIST.md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the repo to public GitHub. </w:t>
      </w:r>
      <w:r>
        <w:t xml:space="preserve">The repo currently has no remote; a public project link is mandatory.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Record and upload the YouTube video (5 minutes or less). </w:t>
      </w:r>
      <w:r>
        <w:t xml:space="preserve">Show the demo, the architecture diagram, and Antigravity + agents-cli on screen; Antigravity can only be demonstrated in the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the Kaggle Writeup. </w:t>
      </w:r>
      <w:r>
        <w:t xml:space="preserve">Paste submission/WRITEUP.md, set the title and subtitle, and select the Agents for Good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Fill the two placeholders </w:t>
      </w:r>
      <w:r>
        <w:t xml:space="preserve">(YouTube link and GitHub repo link) in the writeup.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Upload media. </w:t>
      </w:r>
      <w:r>
        <w:t xml:space="preserve">cover_image.png as the cover, screenshots 01–05, and attach the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Attach the project link </w:t>
      </w:r>
      <w:r>
        <w:t xml:space="preserve">(the GitHub repo URL).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Click Submit before July 6, 11:59 PM PT. </w:t>
      </w:r>
      <w:r>
        <w:t xml:space="preserve">Draft writeups are not judged.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GrantScout · Kaggle Vibe Coding Capstone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0ea6e0998d9bdbc9c770675f902bd9fdc1a64f.png"/><Relationship Id="rId9" Type="http://schemas.openxmlformats.org/officeDocument/2006/relationships/image" Target="media/2cdb2c9ff8f641e3f60c034bc5becd3915e5a95b.png"/><Relationship Id="rId10" Type="http://schemas.openxmlformats.org/officeDocument/2006/relationships/image" Target="media/80d082464e820c5fc3f4d4998b05e2de7374ca13.png"/><Relationship Id="rId11" Type="http://schemas.openxmlformats.org/officeDocument/2006/relationships/image" Target="media/d61bf1925b5e3c9f73815aa1a78a58ba0844c4ba.png"/><Relationship Id="rId12" Type="http://schemas.openxmlformats.org/officeDocument/2006/relationships/image" Target="media/0fdfd9f340046d69ae804ad1bc37b9a470467885.png"/><Relationship Id="rId13" Type="http://schemas.openxmlformats.org/officeDocument/2006/relationships/image" Target="media/766c1a2c993aba0cc2fc7883aa90b2d50ff5cb5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2026-07-05T04:21:52.005Z</dcterms:created>
  <dcterms:modified xsi:type="dcterms:W3CDTF">2026-07-05T04:21:52.007Z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