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zdohp20wet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Le ping — séquence technique</w:t>
        <w:br w:type="textWrapping"/>
        <w:t xml:space="preserve">(couverture : un check)</w:t>
      </w:r>
    </w:p>
    <w:p w:rsidR="00000000" w:rsidDel="00000000" w:rsidP="00000000" w:rsidRDefault="00000000" w:rsidRPr="00000000" w14:paraId="00000002">
      <w:pPr>
        <w:shd w:fill="f9fafb" w:val="clear"/>
        <w:spacing w:after="160" w:before="240" w:line="360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AYANT DROIT                                    │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1. ID — Cultural ID / Work ID                                              │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   → Identité unique et vérifiée de l'ayant droit et de l'œuvre            │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Horodatage, signature cryptographique                                 │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2. Paramétrage sous agent IA                                               │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L'ayant droit exprime ses règles en langage naturel                   │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L'agent IA traduit en paramètres structurés :                         │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- usages autorisés (edit, react, mème, IA, clipping...)              │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- territoires, plateformes, durée                                    │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- modèle économique (gratuit, revenue sharing, licence fixe, etc.)   │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                          CRÉATEUR                                       │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3. Ping — intention créative                                               │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Le créateur exprime une intention : "Je veux utiliser cet extrait"    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Le système reçoit l'intention, la confronte aux règles pré-définies   │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4. Générateur de licence — License ID                                      │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Génération automatique d'un contrat exécutable                        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Licence lisible par machine, paramétrée, signée                       │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Enregistrée sur le registre (blockchain / ledger distribué)           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5. Smart contract                                                          │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Le contrat est encodé et déployé                                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Conditions d'exécution programmées : si usage alors paiement          │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6. Fingerprint / Filigrane                                                 │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│    → L'œuvre dérivée est marquée (invisible / visible)                     │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Liée au License ID et au smart contract                               │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Permet le traçage quel que soit le canal de diffusion                 │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7. Oracle                                                                  │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Capte les événements d'usage (vue, like, partage, reclic, achat)      │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Depuis les plateformes (TikTok, YouTube, Instagram, Twitch, Spotify)  │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Atteste la conformité ou la violation                                 │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8. Exécution du contrat                                                    │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L'oracle déclenche l'exécution du smart contract                      │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Paiement automatique déclenché par l'usage constaté                   │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9. Redistribution                                                          │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Répartition automatique selon les règles paramétrées au geste 2       │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Ayant droit / créateur / plateformes / FAN (royalties)                │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 → Paiement en fiat (stable coin) ou en ART                              │</w:t>
      </w:r>
    </w:p>
    <w:p w:rsidR="00000000" w:rsidDel="00000000" w:rsidP="00000000" w:rsidRDefault="00000000" w:rsidRPr="00000000" w14:paraId="00000050">
      <w:pPr>
        <w:shd w:fill="f9fafb" w:val="clear"/>
        <w:spacing w:after="16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evzbphye4g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Synthèse — les 9 étapes techniques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6.3276930809184"/>
        <w:gridCol w:w="3648.6111576478474"/>
        <w:gridCol w:w="3420.5729602948572"/>
        <w:tblGridChange w:id="0">
          <w:tblGrid>
            <w:gridCol w:w="1956.3276930809184"/>
            <w:gridCol w:w="3648.6111576478474"/>
            <w:gridCol w:w="3420.572960294857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Intitulé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 (Cultural ID / Work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Identité inviolable de l'ayant droit et de l'œuvre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Paramétrage sous agent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Traduction des règles en paramètres structurés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Intention créative du créateur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Générateur de licence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Création du contrat exécutable (License 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Smart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Encodage et déploiement des 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Fingerprint / Filigrane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Marquage de l'œuvre dérivée pour traçabilité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Captation des événements d'usage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Exécution du contrat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Déclenchement du paiement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Répartition automatique des revenus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n3zww7jq5q5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Ce que cette séquence rend visible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 qu'on voit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rôle de l'IA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L'agent IA traduit le langage naturel en paramètres (pas de décision, traduction)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rôle du générateur de licence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C'est l'outil qui rend le ping exécutable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rôle de l'oracle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Pont entre le monde des usages (plateformes) et le monde des contrats (blockchain)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 boucle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 l'intention à la redistribution, tout est automatisé et tracé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0x7saf1uqrg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Schéma à dessiner (pour le Substack)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Un diagramme de flux vertical (ou en cercle) avec les 9 étapes, et trois couleurs 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Bleu : ce qui relève de l'ayant droit (étapes 1-2)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Vert : ce qui relève du créateur (étape 3)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Orange : ce qui relève de l'infrastructure (étapes 4-9)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Le Ping — Séquence technique exhaustive (9 actes)</w:t>
      </w:r>
    </w:p>
    <w:p w:rsidR="00000000" w:rsidDel="00000000" w:rsidP="00000000" w:rsidRDefault="00000000" w:rsidRPr="00000000" w14:paraId="000000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Voici la description complète, détaillée, de bout en bout. Chaque acte est subdivisé en étapes opérationnelles. Les rôles, les garanties, les dépendances techniques et les cas particuliers sont spécifiés.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5bxn9zeaka1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Vue d'ensemble des 9 actes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8.2416330929086"/>
        <w:gridCol w:w="2680.984068282289"/>
        <w:gridCol w:w="1852.8266859333098"/>
        <w:gridCol w:w="2863.459423715115"/>
        <w:tblGridChange w:id="0">
          <w:tblGrid>
            <w:gridCol w:w="1628.2416330929086"/>
            <w:gridCol w:w="2680.984068282289"/>
            <w:gridCol w:w="1852.8266859333098"/>
            <w:gridCol w:w="2863.4594237151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Intitulé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Cultural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Ayant droit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Identité immuable de l'œuvre et de son propriétaire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Paramétrage intelligent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Ayant droit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Policy Set exécutable (traduction des règles)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Créateur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Intention créative enregistrée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License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Contrat exécutable généré (License 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Smart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Contrat déployé sur ledger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Fingerprinting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Œuvre dérivée marquée et traçable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Oracle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Événements d'usage captés et vérifiés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Déclenchement automatique des paiements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Paiements distribués aux parties prenantes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f6nisx23wp4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1 — Cultural ID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Établir une identité unique, inviolable et traçable pour l'œuvre et son propriétaire.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Ayant droit (ou son représentant technique)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L'ayant droit dispose d'un compte (wallet) sur l'infrastructure (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IRL.art</w:t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ou autre interface compatible).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2wa63w8tm0s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 / Sécurité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Création du compte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L'ayant droit s'inscrit (email, identité, ou wallet existant)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Vérification d'identité minimale (KYC optionnel selon seuil)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Génération de la paire de clés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génère une clé privée / clé publique (ou utilise un wallet existant : Metamask, WalletConnect,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 clé privée n'est jamais partagée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Dépôt de l'œuvre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L'ayant droit uploade le fichier (vidéo, audio, image, texte, etc.) + métadonnées (titre, date, genre, tags)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Taille maximale, formats acceptés (selon storage)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Calcul du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calcule un hash cryptographique (SHA-256) de l'œuvre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Empreinte unique, infalsifiable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L'ensemble { clé publique, métadonnées, hash } est signé avec la clé privée de l'ayant droit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Preuve d'authenticité et d'origine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Enregistrement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Cultural ID (CID) et le Work ID (WID) sont inscrits sur le registre (blockchain / ledger distribué)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Transaction horodatée, immuable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Work ID (WID) — identifiant unique de l'œuvre.</w:t>
        <w:br w:type="textWrapping"/>
        <w:t xml:space="preserve">Sortie annexe : Cultural ID (CID) — identifiant unique de l'ayant droit (réutilisable pour d'autres œuvres).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Quelques secondes à quelques minutes (selon taille du fichier).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Dépôt d'une œuvre collaborative (multiples ayants droit) → signature multiple (co-signature) ou délégation.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Dépôt par un mandataire (agent, maison de disques) → lien entre CID agent et CID artiste.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4ptc31swj0d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2 — Paramétrage intelligent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Traduire les règles de l'ayant droit en un format exécutable par la machine.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Ayant droit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L'œuvre possède un WID (acte 1).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zartcpuzkng9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Accès au paramétrage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L'ayant droit sélectionne l'œuvre (WID) dans son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Seul le propriétaire (ou délégataire) a accès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Expression des règles en langage naturel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L'ayant droit saisit ses conditions en français / anglais : "autoriser les edits sur TikTok pour 30 jours, partage des revenus 50/50 avec le créateur"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Interface simple, accessible non-technique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Traduction par agent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 LLM fine-tuné (ou un agent spécialisé) analyse la phrase et propose un Policy Set structuré (JSON, YAML, DSL)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L'IA ne décide pas — elle propose. L'ayant droit valide.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Composition du Policy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Policy Set inclut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Usage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edit, react, meme, IA training, streaming, licence fixe, clipping,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Territories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monde, EU, France, US, Asie, etc. (ISO 3166 ou groupes prédéfinis)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TikTok, YouTube, Instagram, Twitch, Spotify, Apple Music,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 de début, date de fin (ou "illimité")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Economic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gratuit, revenue sharing (split %), licence fixe (€), CPM, CPA,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Attribution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créditer l'ayant droit (oui/non, avec format spécifique)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Exclusivity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licence exclusive / non 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Sub-licensing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autorisé / non autorisé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Validation humaine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L'ayant droit lit le Policy Set (traduit en langage naturel par l'IA) et l'approuve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Validation explicite, traçable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Signature et enregistrement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Policy Set est signé par la clé privée de l'ayant droit et enregistré sur le registre, lié au 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Preuve d'intention. Modifiable uniquement par nouvelle version (immuable).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Policy Set — exécutable, traçable, signé.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1 à 5 minutes (selon complexité des règles).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Mise à jour des règles → nouvelle version du Policy Set (l'ancienne reste valable pour les licences déjà émises).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Règles complexes (ex: "50/50 sur les 1000 premières vues, puis 30/70") → agent IA propose une structure conditionnelle.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zw2zm8scep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3 — Ping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Le créateur exprime une intention d'usage et accepte les règles.</w:t>
      </w:r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Créateur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L'œuvre existe (WID) et a un Policy Set associé.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4iobfymnhxl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2.2332048919418"/>
        <w:gridCol w:w="2544.4262020438937"/>
        <w:gridCol w:w="2640.4422851398895"/>
        <w:gridCol w:w="2448.410118947898"/>
        <w:tblGridChange w:id="0">
          <w:tblGrid>
            <w:gridCol w:w="1392.2332048919418"/>
            <w:gridCol w:w="2544.4262020438937"/>
            <w:gridCol w:w="2640.4422851398895"/>
            <w:gridCol w:w="2448.41011894789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Découverte de l'œuvre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créateur trouve l'œuvre via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color w:val="3964fe"/>
                  <w:sz w:val="23"/>
                  <w:szCs w:val="23"/>
                  <w:rtl w:val="0"/>
                </w:rPr>
                <w:t xml:space="preserve">IRL.art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une plateforme tierce, ou directement un lien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Accès public aux métadonnées (mais pas au fichier source)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Expression de l'intention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créateur sélectionne l'œuvre (WID), choisit un usage (edit, react, IA training, etc.) et peut ajouter des précisions (ex: "pour une vidéo TikTok de moins de 60s")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Interface standardisée (API ou UI)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Consultation du Policy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interroge le registre pour récupérer le Policy Set actif du 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Seule la dernière version valide est retournée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Présentation au créateur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Policy Set est affiché en langage clair (traduit par l'IA) : "Tu as le droit de faire un edit sur TikTok pour 30 jours. Les revenus seront partagés 50/50."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Transparence totale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Acceptation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créateur clique "Accepter" ou "Ping"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L'acceptation est horodatée, signée (par clé privée du créateur)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Enregistrement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L'intention d'usage + acceptation sont enregistrées sur le registre, liées au WID et au CID du créateur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Preuve de consentement. La licence n'est pas encore exécutable (acte 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Intention enregistrée + acceptation.</w:t>
        <w:br w:type="textWrapping"/>
        <w:t xml:space="preserve">Sortie annexe : Un "deal ID" provisoire (en attente de génération de licence).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Moins de 10 secondes.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Négociation : si le Policy Set autorise la négociation, le créateur peut faire une contre-offre → le système la transmet à l'ayant droit (notif, dashboard).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Usage non prévu dans le Policy Set : le système retourne "licence non disponible" (ou propose à l'ayant droit d'étendre le Policy Set).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n64jycnb6r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4 — License Engine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Générer un contrat exécutable (licence) à partir du Policy Set et de l'acceptation.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Infrastructure (moteur automatisé)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Policy Set (acte 2) + intention acceptée (acte 3).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0q1q8ivt6yn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Déclenchement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détecte l'acceptation du créateur (acte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Automatique, sans intervention humaine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Agrégation des 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License Engine compile : Policy Set (acte 2) + identité du créateur (CID) + paramètres de l'intention (usage, durée implicite si non spécifié)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Sources traçables (hash des actes précédents)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Génération du License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Un identifiant unique est créé pour la licence (LIC-XXX)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 standardisé (UUID ou séquentiel)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Production du contrat exécutable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moteur génère un contrat sous forme de code (smart contract, ou format intermédiaire comme JSON + signatures)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Langage standardisé (Solana, EVM,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Intégration des clés de répartition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Les pourcentages de redistribution (ayant droit / créateur / FAN / plateforme) sont calculés selon les règles du Policy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Contrat sans ambigüité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Signature de la licence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 licence est signée par le système (ou par les deux parties par délégation)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Preuve d'intégrité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Enregistrement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License ID + contrat exécutable sont enregistrés sur le registre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Traçabilité. La licence est publique (ou privée selon paramétrage).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License ID (LIC-XXX) + contrat exécutable (smart contract ready).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Moins de 5 secondes (automate).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Licences multiples pour la même œuvre (ex: 100 créateurs différents) → 100 License ID distincts.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Contrat en attente (ex: manque de signature de l'ayant droit pour une négociation) → statut "pending".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27djr3qbn6y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5 — Smart Contract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Déployer le contrat sur la blockchain / ledger pour le rendre exécutable.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Infrastructure (déploiement automatisé)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License ID + contrat exécutable (acte 4).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wqnzeh2w34v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.9458267716536"/>
        <w:gridCol w:w="2527.143307086614"/>
        <w:gridCol w:w="2647.48346456693"/>
        <w:gridCol w:w="2454.9392125984255"/>
        <w:tblGridChange w:id="0">
          <w:tblGrid>
            <w:gridCol w:w="1395.9458267716536"/>
            <w:gridCol w:w="2527.143307086614"/>
            <w:gridCol w:w="2647.48346456693"/>
            <w:gridCol w:w="2454.93921259842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Sélection de la blockchain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choisit le réseau cible (Ethereum, Polygon, Solana, Story Protocol, etc.) selon paramétrage (coût, rapidité, conformité)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Compatibilité multi-chaînes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contrat exécutable est compilé en bytecode (EVM,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Vérification des dépendances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Déploiement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contrat est déployé sur la blockchain (transaction signée par le système ou par un relayer)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Transaction hash horodaté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Vérification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vérifie que le contrat est actif et accessible (call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Intégrité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Enregistrement du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hash de déploiement (contract address) est enregistré dans le registre, lié au License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Preuve de déploiement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Exposition du contrat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contrat expose des fonctions standard 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reportUsage(licenseId, eventType, metadata)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resolveDispute(licenseId, evidence)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pause()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withdraw()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publique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Smart contract déployé, adresse publique accessible.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15 secondes à 2 minutes (selon la blockchain).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Layer 2 (Optimism, Arbitrum) → moins cher, plus rapide.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Ledger privé (pour certains ayants droit) → permissionné, mais moins décentralisé.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High frequency licensing → on peut utiliser des "batch contracts" (regrouper plusieurs licences dans un même contrat).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7kcsr6i6x1t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6 — Fingerprinting (marquage)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Rendre l'œuvre dérivée traçable, quel que soit le canal de diffusion.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Infrastructure (intégrée aux outils de création ou appliquée a posteriori)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Œuvre dérivée créée par le créateur (téléchargée / finalisée).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0gvywhdny2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Détection de finalisation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créateur signale que l'œuvre dérivée est prête (ou l'outil de création le fait automatiquement)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UI /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Choix du type de marquage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Selon le format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Vidéo /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filigrane visible (logo, bandeau) + filigrane invisible (stéganographie, insertion dans les métadonnées EXIF)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filigrane audible (superposition faible) + fingerprint acoustique (hachage du spectre)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insertion de mots-clefs uniques, variation de syntaxe (synonymes) + métadonnées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Insertion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L'algorithme de fingerprinting insère le marquage lié au License ID et au WID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Résistance aux transformations (compression, recadrage, ré-encodage)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Vérification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vérifie que le marquage est correctement détectable (en laboratoire)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Taux de faux positifs / négatifs mesuré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Enregistrement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Les paramètres du filigrane (hash du marquage, méthode) sont enregistrés sur le registre, liés au License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Preuve d'association entre œuvre dérivée et licence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Livraison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L'œuvre dérivée marquée est rendue disponible pour publication (sur les plateformes)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créateur peut la télécharger ou la publier directement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Œuvre dérivée marquée — traçable.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Quelques secondes (automatisé).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Œuvre déjà publiée sans marquage → impossible de tracer a posteriori. Le ping impose donc le marquage avant publication.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Utilisation de content ID distribué (comme le système de YouTube, mais décentralisé) → alternative au filigrane visible.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0we69kwbbnv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7 — Oracle Network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Capturer les événements d'usage (vues, streams, téléchargements, clics, etc.) sur les plateformes et les rapporter au smart contract.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Infrastructure (réseau d'oracles décentralisés)</w:t>
      </w:r>
    </w:p>
    <w:p w:rsidR="00000000" w:rsidDel="00000000" w:rsidP="00000000" w:rsidRDefault="00000000" w:rsidRPr="00000000" w14:paraId="000001D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L'œuvre dérivée marquée est publiée sur les plateformes (TikTok, YouTube, Spotify, etc.).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v4eavthz3e2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Mise en place de capteurs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Les oracles sont connectés aux API des plateformes (TikTok, YouTube, Spotify, etc.) et surveillent les contenus via des crawlers /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Multi-sources pour éviter la censure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Détection de l'usage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L'oracle identifie une occurrence d'usage (ex: une nouvelle vue, un stream, un like) sur une œuvre qui correspond au fingerprint enregistré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Détection via reconnaissance de contenu (hash, filigrane)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Collecte de preuves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L'oracle rassemble : URL, horodatage, type d'événement, métadonnées (pays, plateforme,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Preuve cryptographique (hash de l'URL + timestamp)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Vérification de conformité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L'oracle vérifie que l'usage respecte le Policy Set (territoire, plateforme,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 non conforme, événement ignoré (ou déclenche une alerte)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Appel au smart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L'oracle appelle la fonction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reportUsage(licenseId, eventType, metadata)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du smart contract correspondant (acte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Transaction on-chain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Enregistrement de la preuve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 preuve d'usage est hachée et stockée (off-chain ou on-chain selon le coût)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Auditabilité ultérieure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Événements d'usage convertis en transactions on-chain (reportUsage).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Quelques secondes à quelques minutes après l'événement réel (latence dépend des API plateformes).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Panne d'API : fallback sur scraping / preuves fournies par le créateur (upload de screenshot, vidéo).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Usage non conforme (ex: plateforme non autorisée) : le contrat peut refuser le paiement ou émettre une alerte pour l'ayant droit.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Oracle malveillant : réseau décentralisé (consensus) — plusieurs oracles doivent confirmer l'événement.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tykyh7v5fps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8 — Execution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Déclencher automatiquement les paiements (ou sanctions) conformément au contrat.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Smart contract (acte 5), déclenché par les oracles (acte 7)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Au moins un événement d'usage a été reporté.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21bnn5eymbu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Réception du rapport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smart contract reçoit un appel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reportUsage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Vérifie la signature de l'oracle (ou preuve de consensus)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contrat valide que l'événement correspond au License ID et que les conditions (ex: pas de dépassement de durée) sont satisfaites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Seuils programmés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Calcul des montants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Selon le Policy Set (modèle économique : CPM, revenue sharing, licence fixe, etc.), le contrat calcule le montant dû à chaque partie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Précision (décimaux, arrondis)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Déclenchement du paiement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contrat initie le transfert de fonds (stable coin / ART) vers les wallets respectifs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Ayant droit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Créateur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FAN (royalties)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selon % (ex: 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Plateforme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selon % (si accord avec l'infrastructure)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Enregistrement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paiement est haché et enregistré dans le registre (on-chain pour les transactions, off-chain pour les métadonnées)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Preuve de paiement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notifie les parties (email, dashboard, push) qu'un paiement a été effectué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Transparence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Paiements exécutés, notifiés.</w:t>
      </w:r>
    </w:p>
    <w:p w:rsidR="00000000" w:rsidDel="00000000" w:rsidP="00000000" w:rsidRDefault="00000000" w:rsidRPr="00000000" w14:paraId="000002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Quelques secondes après l'appel de l'oracle.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4"/>
          <w:szCs w:val="24"/>
          <w:rtl w:val="0"/>
        </w:rPr>
        <w:t xml:space="preserve">Seuil minimum de déclenchement (ex: ne pas déclencher pour moins de 1€) → accumulation en buffer jusqu'au seuil.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Conflit / contestation : le contrat passe en statut "disputed". Les fonds sont bloqués en attendant une résolution (acte 9 ou arbitrage).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Échec de paiement (fonds insuffisants) : le contrat peut suspendre la licence.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2ocsp5nqpegr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Acte 9 — Redistribution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Objectif : Assurer la distribution finale des fonds aux parties prenantes et la traçabilité complète.</w:t>
      </w:r>
    </w:p>
    <w:p w:rsidR="00000000" w:rsidDel="00000000" w:rsidP="00000000" w:rsidRDefault="00000000" w:rsidRPr="00000000" w14:paraId="000002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Responsable : Infrastructure (paiements), en relais du smart contract</w:t>
      </w:r>
    </w:p>
    <w:p w:rsidR="00000000" w:rsidDel="00000000" w:rsidP="00000000" w:rsidRDefault="00000000" w:rsidRPr="00000000" w14:paraId="000002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Prérequis : Paiements déclenchés par le smart contract (acte 8).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0fcwvbutuxk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Étapes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7.5781185246583"/>
        <w:gridCol w:w="2612.648155822628"/>
        <w:gridCol w:w="2612.648155822628"/>
        <w:gridCol w:w="2422.637380853709"/>
        <w:tblGridChange w:id="0">
          <w:tblGrid>
            <w:gridCol w:w="1377.5781185246583"/>
            <w:gridCol w:w="2612.648155822628"/>
            <w:gridCol w:w="2612.648155822628"/>
            <w:gridCol w:w="2422.63738085370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Étape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Détail 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Garantie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Consolidation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Les paiements individuels sont regroupés par partie prenante (ex: tous les paiements destinés à l'ayant droit pour une période donnée)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Batch processing pour réduire les frais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Conversion (optionnel)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 le paiement est en ART et que le bénéficiaire souhaite du fiat, un service de conversion (ou un exchange) intervient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Taux compétitif, traçable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Distribution effective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Les fonds sont envoyés vers les wallets (ou comptes bancaires) des bénéficiaires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Paiement irréversible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Génération des justificatifs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 système génère un relevé (PDF, CSV) pour chaque bénéficiaire, détaillant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License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Nombre d'usages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Montant brut, frais, montant 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Clés de répartition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Mise à disposition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Les justificatifs sont disponibles dans le dashboard de chaque bénéficiaire (et peuvent être exportés)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Auditabilité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Reporting à la FAN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Les données de redistribution (anonymisées / agrégées) sont envoyées à la FAN pour la transparence et le calcul des métriques (Single Metric)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Alimentation du bien commun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Sortie : Paiements distribués, justificatifs disponibles, reporting FAN.</w:t>
      </w:r>
    </w:p>
    <w:p w:rsidR="00000000" w:rsidDel="00000000" w:rsidP="00000000" w:rsidRDefault="00000000" w:rsidRPr="00000000" w14:paraId="000002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Durée typique : Selon le batch (immédiat pour les gros montants, périodique pour les micro-paiements).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Cas particuliers :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Litige : un bénéficiaire conteste le montant. Le statut "disputed" bloque les futurs paiements jusqu'à l'arbitrage (comité de la FAN).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Abandon de créance : si le bénéficiaire ne réclame pas les fonds dans un délai, ils peuvent être reversés à la FAN (après notification).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pt143tmgxhm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Synthèse — Tableau des dépendances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3.0374769864468"/>
        <w:gridCol w:w="2623.00211152602"/>
        <w:gridCol w:w="2623.00211152602"/>
        <w:gridCol w:w="2396.470110985136"/>
        <w:tblGridChange w:id="0">
          <w:tblGrid>
            <w:gridCol w:w="1383.0374769864468"/>
            <w:gridCol w:w="2623.00211152602"/>
            <w:gridCol w:w="2623.00211152602"/>
            <w:gridCol w:w="2396.470110985136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Dépend des actes précédents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Déclencheur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Ayant droit décide de déposer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WID, CID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(WID)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Ayant droit paramètre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Policy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 (Policy 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Créateur 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Intention acceptée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 (intention)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License ID + contrat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 (contrat)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Smart contract déployé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 (License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Créateur finalise l'œuvre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Œuvre dérivée marquée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 (marquage) +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Oracle capte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Événement on-chain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 (événement)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Oracle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Paiement déclenché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 (paiement)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Automatique (ou batch)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Fonds distribués,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ftwmvfqzf8z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Ce que cette exhaustivité permet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4.717708158822"/>
        <w:gridCol w:w="4740.794102864802"/>
        <w:tblGridChange w:id="0">
          <w:tblGrid>
            <w:gridCol w:w="4284.717708158822"/>
            <w:gridCol w:w="4740.79410286480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Implémentation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Développeurs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Peuvent implémenter chaque acte comme une API séparée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Peuvent vérifier la conformité juridique et technique de chaque acte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Investisseurs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Comprennent la chaîne de valeur et les points de blocage potentiels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Créateurs / ayants droit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Comprennent leurs droits et obligations à chaque étape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irl.art/" TargetMode="External"/><Relationship Id="rId8" Type="http://schemas.openxmlformats.org/officeDocument/2006/relationships/hyperlink" Target="https://irl.ar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