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CC71" w:sz="12" w:space="8"/>
        </w:pBdr>
        <w:spacing w:after="200"/>
      </w:pPr>
      <w:r>
        <w:rPr>
          <w:b/>
          <w:bCs/>
          <w:color w:val="3A3A4A"/>
          <w:sz w:val="34"/>
          <w:szCs w:val="34"/>
        </w:rPr>
        <w:t xml:space="preserve">E-commerce Customer Retention Analysis</w:t>
      </w:r>
    </w:p>
    <w:p>
      <w:pPr>
        <w:spacing w:after="200"/>
      </w:pPr>
      <w:r>
        <w:rPr>
          <w:i/>
          <w:iCs/>
          <w:color w:val="6B6B80"/>
          <w:sz w:val="22"/>
          <w:szCs w:val="22"/>
        </w:rPr>
        <w:t xml:space="preserve">RFM Segmentation — Business Insight Summary</w:t>
      </w:r>
    </w:p>
    <w:p>
      <w:pPr>
        <w:pStyle w:val="Heading2"/>
        <w:spacing w:after="100" w:before="200"/>
      </w:pPr>
      <w:r>
        <w:rPr>
          <w:b/>
          <w:bCs/>
          <w:color w:val="3A3A4A"/>
          <w:sz w:val="24"/>
          <w:szCs w:val="24"/>
        </w:rPr>
        <w:t xml:space="preserve">Executive Summary</w:t>
      </w:r>
    </w:p>
    <w:p>
      <w:pPr>
        <w:spacing w:after="120"/>
      </w:pPr>
      <w:r>
        <w:rPr>
          <w:color w:val="3A3A4A"/>
          <w:sz w:val="20"/>
          <w:szCs w:val="20"/>
        </w:rPr>
        <w:t xml:space="preserve">Across 4,338 customers and £8.89M in historical revenue, purchasing behavior is highly concentrated: the top 20.8% of customers (Champions) generate 63.7% of all revenue. Meanwhile, 769 customers (17.7% of the base) sit in the At Risk or Cant Lose Them segments, representing £921,938 in revenue — relationship-holders who were once frequent, high-value buyers but have gone quiet. Retention efforts targeted at this group offer the highest return of any segment intervention.</w:t>
      </w:r>
    </w:p>
    <w:p>
      <w:pPr>
        <w:pStyle w:val="Heading2"/>
        <w:spacing w:after="100" w:before="200"/>
      </w:pPr>
      <w:r>
        <w:rPr>
          <w:b/>
          <w:bCs/>
          <w:color w:val="3A3A4A"/>
          <w:sz w:val="24"/>
          <w:szCs w:val="24"/>
        </w:rPr>
        <w:t xml:space="preserve">Segment Breakdown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300"/>
        <w:gridCol w:w="1300"/>
      </w:tblGrid>
      <w:tr>
        <w:trPr>
          <w:tblHeader/>
        </w:trPr>
        <w:tc>
          <w:tcPr>
            <w:tcW w:type="dxa" w:w="2400"/>
            <w:shd w:fill="F3EEFC" w:color="auto" w:val="clear"/>
          </w:tcPr>
          <w:p>
            <w:pPr>
              <w:jc w:val="left"/>
            </w:pPr>
            <w:r>
              <w:rPr>
                <w:b/>
                <w:bCs/>
                <w:color w:val="3A3A4A"/>
                <w:sz w:val="18"/>
                <w:szCs w:val="18"/>
              </w:rPr>
              <w:t xml:space="preserve">Segment</w:t>
            </w:r>
          </w:p>
        </w:tc>
        <w:tc>
          <w:tcPr>
            <w:tcW w:type="dxa" w:w="1600"/>
            <w:shd w:fill="F3EEFC" w:color="auto" w:val="clear"/>
          </w:tcPr>
          <w:p>
            <w:pPr>
              <w:jc w:val="center"/>
            </w:pPr>
            <w:r>
              <w:rPr>
                <w:b/>
                <w:bCs/>
                <w:color w:val="3A3A4A"/>
                <w:sz w:val="18"/>
                <w:szCs w:val="18"/>
              </w:rPr>
              <w:t xml:space="preserve">Customers</w:t>
            </w:r>
          </w:p>
        </w:tc>
        <w:tc>
          <w:tcPr>
            <w:tcW w:type="dxa" w:w="1600"/>
            <w:shd w:fill="F3EEFC" w:color="auto" w:val="clear"/>
          </w:tcPr>
          <w:p>
            <w:pPr>
              <w:jc w:val="center"/>
            </w:pPr>
            <w:r>
              <w:rPr>
                <w:b/>
                <w:bCs/>
                <w:color w:val="3A3A4A"/>
                <w:sz w:val="18"/>
                <w:szCs w:val="18"/>
              </w:rPr>
              <w:t xml:space="preserve">Revenue</w:t>
            </w:r>
          </w:p>
        </w:tc>
        <w:tc>
          <w:tcPr>
            <w:tcW w:type="dxa" w:w="1300"/>
            <w:shd w:fill="F3EEFC" w:color="auto" w:val="clear"/>
          </w:tcPr>
          <w:p>
            <w:pPr>
              <w:jc w:val="center"/>
            </w:pPr>
            <w:r>
              <w:rPr>
                <w:b/>
                <w:bCs/>
                <w:color w:val="3A3A4A"/>
                <w:sz w:val="18"/>
                <w:szCs w:val="18"/>
              </w:rPr>
              <w:t xml:space="preserve">% Revenue</w:t>
            </w:r>
          </w:p>
        </w:tc>
        <w:tc>
          <w:tcPr>
            <w:tcW w:type="dxa" w:w="1300"/>
            <w:shd w:fill="F3EEFC" w:color="auto" w:val="clear"/>
          </w:tcPr>
          <w:p>
            <w:pPr>
              <w:jc w:val="center"/>
            </w:pPr>
            <w:r>
              <w:rPr>
                <w:b/>
                <w:bCs/>
                <w:color w:val="3A3A4A"/>
                <w:sz w:val="18"/>
                <w:szCs w:val="18"/>
              </w:rPr>
              <w:t xml:space="preserve">Avg Value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3A3A4A"/>
                <w:sz w:val="18"/>
                <w:szCs w:val="18"/>
              </w:rPr>
              <w:t xml:space="preserve">Champions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color w:val="3A3A4A"/>
                <w:sz w:val="18"/>
                <w:szCs w:val="18"/>
              </w:rPr>
              <w:t xml:space="preserve">904 (20.8%)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color w:val="3A3A4A"/>
                <w:sz w:val="18"/>
                <w:szCs w:val="18"/>
              </w:rPr>
              <w:t xml:space="preserve">£5,660,824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color w:val="3A3A4A"/>
                <w:sz w:val="18"/>
                <w:szCs w:val="18"/>
              </w:rPr>
              <w:t xml:space="preserve">63.7%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color w:val="3A3A4A"/>
                <w:sz w:val="18"/>
                <w:szCs w:val="18"/>
              </w:rPr>
              <w:t xml:space="preserve">£6,262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3A3A4A"/>
                <w:sz w:val="18"/>
                <w:szCs w:val="18"/>
              </w:rPr>
              <w:t xml:space="preserve">Loyal Customers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color w:val="3A3A4A"/>
                <w:sz w:val="18"/>
                <w:szCs w:val="18"/>
              </w:rPr>
              <w:t xml:space="preserve">929 (21.4%)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color w:val="3A3A4A"/>
                <w:sz w:val="18"/>
                <w:szCs w:val="18"/>
              </w:rPr>
              <w:t xml:space="preserve">£1,369,543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color w:val="3A3A4A"/>
                <w:sz w:val="18"/>
                <w:szCs w:val="18"/>
              </w:rPr>
              <w:t xml:space="preserve">15.4%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color w:val="3A3A4A"/>
                <w:sz w:val="18"/>
                <w:szCs w:val="18"/>
              </w:rPr>
              <w:t xml:space="preserve">£1,474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3A3A4A"/>
                <w:sz w:val="18"/>
                <w:szCs w:val="18"/>
              </w:rPr>
              <w:t xml:space="preserve">Cant Lose Them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color w:val="3A3A4A"/>
                <w:sz w:val="18"/>
                <w:szCs w:val="18"/>
              </w:rPr>
              <w:t xml:space="preserve">566 (13.0%)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color w:val="3A3A4A"/>
                <w:sz w:val="18"/>
                <w:szCs w:val="18"/>
              </w:rPr>
              <w:t xml:space="preserve">£473,148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color w:val="3A3A4A"/>
                <w:sz w:val="18"/>
                <w:szCs w:val="18"/>
              </w:rPr>
              <w:t xml:space="preserve">5.3%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color w:val="3A3A4A"/>
                <w:sz w:val="18"/>
                <w:szCs w:val="18"/>
              </w:rPr>
              <w:t xml:space="preserve">£836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3A3A4A"/>
                <w:sz w:val="18"/>
                <w:szCs w:val="18"/>
              </w:rPr>
              <w:t xml:space="preserve">At Risk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color w:val="3A3A4A"/>
                <w:sz w:val="18"/>
                <w:szCs w:val="18"/>
              </w:rPr>
              <w:t xml:space="preserve">203 (4.7%)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color w:val="3A3A4A"/>
                <w:sz w:val="18"/>
                <w:szCs w:val="18"/>
              </w:rPr>
              <w:t xml:space="preserve">£448,790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color w:val="3A3A4A"/>
                <w:sz w:val="18"/>
                <w:szCs w:val="18"/>
              </w:rPr>
              <w:t xml:space="preserve">5.0%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color w:val="3A3A4A"/>
                <w:sz w:val="18"/>
                <w:szCs w:val="18"/>
              </w:rPr>
              <w:t xml:space="preserve">£2,211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3A3A4A"/>
                <w:sz w:val="18"/>
                <w:szCs w:val="18"/>
              </w:rPr>
              <w:t xml:space="preserve">New Customers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color w:val="3A3A4A"/>
                <w:sz w:val="18"/>
                <w:szCs w:val="18"/>
              </w:rPr>
              <w:t xml:space="preserve">478 (11.0%)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color w:val="3A3A4A"/>
                <w:sz w:val="18"/>
                <w:szCs w:val="18"/>
              </w:rPr>
              <w:t xml:space="preserve">£396,764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color w:val="3A3A4A"/>
                <w:sz w:val="18"/>
                <w:szCs w:val="18"/>
              </w:rPr>
              <w:t xml:space="preserve">4.5%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color w:val="3A3A4A"/>
                <w:sz w:val="18"/>
                <w:szCs w:val="18"/>
              </w:rPr>
              <w:t xml:space="preserve">£830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3A3A4A"/>
                <w:sz w:val="18"/>
                <w:szCs w:val="18"/>
              </w:rPr>
              <w:t xml:space="preserve">Hibernating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color w:val="3A3A4A"/>
                <w:sz w:val="18"/>
                <w:szCs w:val="18"/>
              </w:rPr>
              <w:t xml:space="preserve">792 (18.3%)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color w:val="3A3A4A"/>
                <w:sz w:val="18"/>
                <w:szCs w:val="18"/>
              </w:rPr>
              <w:t xml:space="preserve">£178,341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color w:val="3A3A4A"/>
                <w:sz w:val="18"/>
                <w:szCs w:val="18"/>
              </w:rPr>
              <w:t xml:space="preserve">2.0%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color w:val="3A3A4A"/>
                <w:sz w:val="18"/>
                <w:szCs w:val="18"/>
              </w:rPr>
              <w:t xml:space="preserve">£225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3A3A4A"/>
                <w:sz w:val="18"/>
                <w:szCs w:val="18"/>
              </w:rPr>
              <w:t xml:space="preserve">Lost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color w:val="3A3A4A"/>
                <w:sz w:val="18"/>
                <w:szCs w:val="18"/>
              </w:rPr>
              <w:t xml:space="preserve">84 (1.9%)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color w:val="3A3A4A"/>
                <w:sz w:val="18"/>
                <w:szCs w:val="18"/>
              </w:rPr>
              <w:t xml:space="preserve">£151,676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color w:val="3A3A4A"/>
                <w:sz w:val="18"/>
                <w:szCs w:val="18"/>
              </w:rPr>
              <w:t xml:space="preserve">1.7%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color w:val="3A3A4A"/>
                <w:sz w:val="18"/>
                <w:szCs w:val="18"/>
              </w:rPr>
              <w:t xml:space="preserve">£1,806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3A3A4A"/>
                <w:sz w:val="18"/>
                <w:szCs w:val="18"/>
              </w:rPr>
              <w:t xml:space="preserve">Needs Attention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color w:val="3A3A4A"/>
                <w:sz w:val="18"/>
                <w:szCs w:val="18"/>
              </w:rPr>
              <w:t xml:space="preserve">322 (7.4%)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color w:val="3A3A4A"/>
                <w:sz w:val="18"/>
                <w:szCs w:val="18"/>
              </w:rPr>
              <w:t xml:space="preserve">£149,061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color w:val="3A3A4A"/>
                <w:sz w:val="18"/>
                <w:szCs w:val="18"/>
              </w:rPr>
              <w:t xml:space="preserve">1.7%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color w:val="3A3A4A"/>
                <w:sz w:val="18"/>
                <w:szCs w:val="18"/>
              </w:rPr>
              <w:t xml:space="preserve">£463</w:t>
            </w:r>
          </w:p>
        </w:tc>
      </w:tr>
      <w:tr>
        <w:tc>
          <w:tcPr>
            <w:tcW w:type="dxa" w:w="2400"/>
          </w:tcPr>
          <w:p>
            <w:pPr>
              <w:jc w:val="left"/>
            </w:pPr>
            <w:r>
              <w:rPr>
                <w:b w:val="false"/>
                <w:bCs w:val="false"/>
                <w:color w:val="3A3A4A"/>
                <w:sz w:val="18"/>
                <w:szCs w:val="18"/>
              </w:rPr>
              <w:t xml:space="preserve">Potential Loyalist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color w:val="3A3A4A"/>
                <w:sz w:val="18"/>
                <w:szCs w:val="18"/>
              </w:rPr>
              <w:t xml:space="preserve">60 (1.4%)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color w:val="3A3A4A"/>
                <w:sz w:val="18"/>
                <w:szCs w:val="18"/>
              </w:rPr>
              <w:t xml:space="preserve">£59,062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color w:val="3A3A4A"/>
                <w:sz w:val="18"/>
                <w:szCs w:val="18"/>
              </w:rPr>
              <w:t xml:space="preserve">0.7%</w:t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  <w:color w:val="3A3A4A"/>
                <w:sz w:val="18"/>
                <w:szCs w:val="18"/>
              </w:rPr>
              <w:t xml:space="preserve">£984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3A3A4A"/>
          <w:sz w:val="24"/>
          <w:szCs w:val="24"/>
        </w:rPr>
        <w:t xml:space="preserve">Key Findings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4A"/>
          <w:sz w:val="20"/>
          <w:szCs w:val="20"/>
        </w:rPr>
        <w:t xml:space="preserve">Revenue concentration: Champions + Loyal Customers (42.2% of customers) account for 79.1% of total revenue — a textbook Pareto pattern confirming where retention investment matters most.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4A"/>
          <w:sz w:val="20"/>
          <w:szCs w:val="20"/>
        </w:rPr>
        <w:t xml:space="preserve">At-risk value: At Risk and Cant Lose Them customers average £2,211 and £836 per customer respectively — both above the £2,049 overall average — meaning churn here is disproportionately costly.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4A"/>
          <w:sz w:val="20"/>
          <w:szCs w:val="20"/>
        </w:rPr>
        <w:t xml:space="preserve">Low-priority tail: Hibernating and Lost customers (20.2% of the base) contribute just 3.7% of revenue, confirming heavy retention spend here is not cost-effective.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4A"/>
          <w:sz w:val="20"/>
          <w:szCs w:val="20"/>
        </w:rPr>
        <w:t xml:space="preserve">Growth pipeline: New Customers and Potential Loyalist segments (538 customers, 12.4%) represent early-stage relationships that can be nurtured into Loyal/Champion status with the right onboarding touchpoints.</w:t>
      </w:r>
    </w:p>
    <w:p>
      <w:pPr>
        <w:pStyle w:val="Heading2"/>
        <w:spacing w:after="100" w:before="200"/>
      </w:pPr>
      <w:r>
        <w:rPr>
          <w:b/>
          <w:bCs/>
          <w:color w:val="3A3A4A"/>
          <w:sz w:val="24"/>
          <w:szCs w:val="24"/>
        </w:rPr>
        <w:t xml:space="preserve">Recommended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4A"/>
          <w:sz w:val="20"/>
          <w:szCs w:val="20"/>
        </w:rPr>
        <w:t xml:space="preserve">Champions (904 customers, £5.66M revenue): Protect this group with early access to new products, loyalty perks, and referral incentives. Losing even a small fraction here has outsized revenue impact.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4A"/>
          <w:sz w:val="20"/>
          <w:szCs w:val="20"/>
        </w:rPr>
        <w:t xml:space="preserve">At Risk (203 customers, £448,790 revenue): Launch personal outreach with a win-back discount before they lapse into Hibernating — this is the highest-leverage intervention window.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4A"/>
          <w:sz w:val="20"/>
          <w:szCs w:val="20"/>
        </w:rPr>
        <w:t xml:space="preserve">Cant Lose Them (566 customers, £473,148 revenue): High-touch contact (phone/email from a named account contact) plus a VIP-tier offer; these were previously frequent, high-value buyers.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4A"/>
          <w:sz w:val="20"/>
          <w:szCs w:val="20"/>
        </w:rPr>
        <w:t xml:space="preserve">New Customers / Potential Loyalist (538 customers): Automated onboarding sequence in the first 30-60 days to build purchase frequency before they drift toward Needs Attention.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4A"/>
          <w:sz w:val="20"/>
          <w:szCs w:val="20"/>
        </w:rPr>
        <w:t xml:space="preserve">Hibernating / Lost (876 customers, £330,017 revenue): Low-cost automated email only — do not allocate high-touch retention budget here.</w:t>
      </w:r>
    </w:p>
    <w:p>
      <w:pPr>
        <w:pStyle w:val="Heading2"/>
        <w:spacing w:after="100" w:before="200"/>
      </w:pPr>
      <w:r>
        <w:rPr>
          <w:b/>
          <w:bCs/>
          <w:color w:val="3A3A4A"/>
          <w:sz w:val="24"/>
          <w:szCs w:val="24"/>
        </w:rPr>
        <w:t xml:space="preserve">Next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4A"/>
          <w:sz w:val="20"/>
          <w:szCs w:val="20"/>
        </w:rPr>
        <w:t xml:space="preserve">Export the At Risk / Cant Lose Them customer list (see dashboard, Page 3) to the retention/CRM team for immediate outreach.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4A"/>
          <w:sz w:val="20"/>
          <w:szCs w:val="20"/>
        </w:rPr>
        <w:t xml:space="preserve">Re-run this RFM analysis quarterly to track segment migration and measure the impact of retention campaigns.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A3A4A"/>
          <w:sz w:val="20"/>
          <w:szCs w:val="20"/>
        </w:rPr>
        <w:t xml:space="preserve">Consider layering in product-category data in a future iteration to tailor win-back offers to each customer's actual purchase history.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2026-09-06T15:25:26.979Z</dcterms:created>
  <dcterms:modified xsi:type="dcterms:W3CDTF">2026-09-06T15:25:26.989Z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