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 w:val="false"/>
          <w:bCs w:val="false"/>
          <w:color w:val="AAAAAA"/>
          <w:sz w:val="20"/>
          <w:szCs w:val="20"/>
        </w:rPr>
        <w:t xml:space="preserve">TEVIA ENERGIE</w:t>
      </w:r>
    </w:p>
    <w:p>
      <w:pPr>
        <w:spacing w:after="200" w:before="200"/>
        <w:jc w:val="center"/>
      </w:pPr>
      <w:r>
        <w:rPr>
          <w:b/>
          <w:bCs/>
          <w:color w:val="1E3A5F"/>
          <w:sz w:val="56"/>
          <w:szCs w:val="56"/>
        </w:rPr>
        <w:t xml:space="preserve">PAYGO Lakehouse</w:t>
      </w:r>
    </w:p>
    <w:p>
      <w:pPr>
        <w:spacing w:after="600" w:before="200"/>
        <w:jc w:val="center"/>
      </w:pPr>
      <w:r>
        <w:rPr>
          <w:color w:val="555555"/>
          <w:sz w:val="28"/>
          <w:szCs w:val="28"/>
        </w:rPr>
        <w:t xml:space="preserve">Documentation Technique Officielle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shd w:fill="EBF0F7" w:val="clear"/>
          </w:tcPr>
          <w:p>
            <w:pPr>
              <w:spacing w:after="40" w:before="8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Auteur</w:t>
            </w:r>
          </w:p>
          <w:p>
            <w:pPr>
              <w:spacing w:after="80" w:before="40"/>
            </w:pPr>
            <w:r>
              <w:rPr>
                <w:color w:val="1A1A1A"/>
                <w:sz w:val="20"/>
                <w:szCs w:val="20"/>
              </w:rPr>
              <w:t xml:space="preserve">Tanguy B. Yao</w:t>
            </w:r>
          </w:p>
        </w:tc>
        <w:tc>
          <w:tcPr>
            <w:tcW w:type="dxa" w:w="3600"/>
            <w:shd w:fill="EBF0F7" w:val="clear"/>
          </w:tcPr>
          <w:p>
            <w:pPr>
              <w:spacing w:after="40" w:before="8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  <w:p>
            <w:pPr>
              <w:spacing w:after="80" w:before="40"/>
            </w:pPr>
            <w:r>
              <w:rPr>
                <w:color w:val="1A1A1A"/>
                <w:sz w:val="20"/>
                <w:szCs w:val="20"/>
              </w:rPr>
              <w:t xml:space="preserve">1.0 — Juillet 2026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40" w:before="8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Infrastructure</w:t>
            </w:r>
          </w:p>
          <w:p>
            <w:pPr>
              <w:spacing w:after="80" w:before="40"/>
            </w:pPr>
            <w:r>
              <w:rPr>
                <w:color w:val="1A1A1A"/>
                <w:sz w:val="20"/>
                <w:szCs w:val="20"/>
              </w:rPr>
              <w:t xml:space="preserve">Railway (MinIO + PostgreSQL)</w:t>
            </w:r>
          </w:p>
        </w:tc>
        <w:tc>
          <w:tcPr>
            <w:tcW w:type="dxa" w:w="3600"/>
            <w:shd w:fill="FFFFFF" w:val="clear"/>
          </w:tcPr>
          <w:p>
            <w:pPr>
              <w:spacing w:after="40" w:before="8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GitHub</w:t>
            </w:r>
          </w:p>
          <w:p>
            <w:pPr>
              <w:spacing w:after="80" w:before="40"/>
            </w:pPr>
            <w:r>
              <w:rPr>
                <w:color w:val="1A1A1A"/>
                <w:sz w:val="20"/>
                <w:szCs w:val="20"/>
              </w:rPr>
              <w:t xml:space="preserve">Tanguy-YAO/pipeline-etl-data-lakehouse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1. Vue d'ensemble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1.1 Contexte métier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TEVIA ENERGIE est une entreprise de financement PAYGO (Pay-As-You-Go) de panneaux solaires en Côte d'Ivoire. Elle opère via deux filiales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TEVIA : panneaux solaires résidentiels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GREENO : pompes solaires agricoles (intégrée fin juin 2026)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pipeline de données a pour objectif de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Unifier les données de deux CRM distincts (UPYA et SURGE)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Produire un rapport EFA mensuel pour le bailleur EDF/NEoT Capital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Permettre le suivi opérationnel du portefeuille clients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1.2 Périmètre EFA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rapport EFA couvre uniquement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surge_tevia : contrats SURGE activés depuis avril 2024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upya_tevia TEVIA uniquement (GREENO exclu)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Sont exclus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GREENO (rapport séparé à venir)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surge_neotci : portefeuille NEoT Capital/Meridiam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surge_zeci : anciens contrats SURGE</w:t>
      </w:r>
    </w:p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2. Architecture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2.1 Architecture Médaillon (Medallion)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pipeline suit une architecture en 3 couches :</w:t>
      </w:r>
    </w:p>
    <w:p>
      <w:pPr>
        <w:spacing w:after="100" w:before="1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2200"/>
      </w:tblGrid>
      <w:tr>
        <w:trPr>
          <w:tblHeader/>
        </w:trPr>
        <w:tc>
          <w:tcPr>
            <w:tcW w:type="dxa" w:w="1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2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Stockage</w:t>
            </w:r>
          </w:p>
        </w:tc>
        <w:tc>
          <w:tcPr>
            <w:tcW w:type="dxa" w:w="1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Bronze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MinIO (paygo-lakehouse)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JSON / CSV bruts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Données sources non transformées</w:t>
            </w:r>
          </w:p>
        </w:tc>
      </w:tr>
      <w:tr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Silver</w:t>
            </w:r>
          </w:p>
        </w:tc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PostgreSQL (schéma silver)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Tables normalisées</w:t>
            </w:r>
          </w:p>
        </w:tc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Données nettoyées et validées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Gold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PostgreSQL (schéma gold)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Vues et tables agrégées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KPIs et rapport EFA</w:t>
            </w:r>
          </w:p>
        </w:tc>
      </w:tr>
    </w:tbl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2.2 Flux de données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UPYA API → Bronze (MinIO JSON) → Silver (PostgreSQL) → Gold (Vues)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SURGE Drive → Bronze (MinIO CSV) → Silver (PostgreSQL) → Gold (Vues)</w:t>
      </w:r>
    </w:p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3. Infrastructure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3.1 Railway (projet : cheerful-amazement)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000"/>
        <w:gridCol w:w="2700"/>
      </w:tblGrid>
      <w:tr>
        <w:trPr>
          <w:tblHeader/>
        </w:trPr>
        <w:tc>
          <w:tcPr>
            <w:tcW w:type="dxa" w:w="1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</w:t>
            </w:r>
          </w:p>
        </w:tc>
        <w:tc>
          <w:tcPr>
            <w:tcW w:type="dxa" w:w="1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7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MinIO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zephyr.proxy.rlwy.net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33176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paygo-lakehouse</w:t>
            </w:r>
          </w:p>
        </w:tc>
      </w:tr>
      <w:tr>
        <w:tc>
          <w:tcPr>
            <w:tcW w:type="dxa" w:w="1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autorack.proxy.rlwy.net</w:t>
            </w:r>
          </w:p>
        </w:tc>
        <w:tc>
          <w:tcPr>
            <w:tcW w:type="dxa" w:w="1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53638</w:t>
            </w:r>
          </w:p>
        </w:tc>
        <w:tc>
          <w:tcPr>
            <w:tcW w:type="dxa" w:w="2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railway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3.2 Ancienne instance (courageous-reprieve)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Contient les données historiques importantes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pvp_linearized_reviewed_v4 : CLD historique UPYA (source pour le patch)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unified_contracts_v4 : vue unifiée historique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unified_contracts_snapshot : snapshots quotidiens sept 2025 → juil 2026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500"/>
      </w:tblGrid>
      <w:tr>
        <w:trPr>
          <w:tblHeader/>
        </w:trPr>
        <w:tc>
          <w:tcPr>
            <w:tcW w:type="dxa" w:w="1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</w:t>
            </w:r>
          </w:p>
        </w:tc>
        <w:tc>
          <w:tcPr>
            <w:tcW w:type="dxa" w:w="2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trolley.proxy.rlwy.net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36875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3.3 Environnement local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Répertoire : C:/Users/HP/Documents/paygo-pipeline/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Shell : Git Bash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Python : .venv (Python 3.13)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Git branch : master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GitHub : Tanguy-YAO/pipeline-etl-data-lakehouse</w:t>
      </w:r>
    </w:p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4. Sources de données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4.1 UPYA (API REST)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URL : https://data.upya.io/data/search/{entity}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Entités extractibles 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rPr>
          <w:tblHeader/>
        </w:trPr>
        <w:tc>
          <w:tcPr>
            <w:tcW w:type="dxa" w:w="2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Entité</w:t>
            </w:r>
          </w:p>
        </w:tc>
        <w:tc>
          <w:tcPr>
            <w:tcW w:type="dxa" w:w="3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contracts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Contrats PAYGO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17,629 lignes</w:t>
            </w:r>
          </w:p>
        </w:tc>
      </w:tr>
      <w:tr>
        <w:tc>
          <w:tcPr>
            <w:tcW w:type="dxa" w:w="2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3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Transactions de paiement</w:t>
            </w:r>
          </w:p>
        </w:tc>
        <w:tc>
          <w:tcPr>
            <w:tcW w:type="dxa" w:w="3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222,650 lignes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assets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Kits solaires installés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40,378+ lignes</w:t>
            </w:r>
          </w:p>
        </w:tc>
      </w:tr>
      <w:tr>
        <w:tc>
          <w:tcPr>
            <w:tcW w:type="dxa" w:w="2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clients</w:t>
            </w:r>
          </w:p>
        </w:tc>
        <w:tc>
          <w:tcPr>
            <w:tcW w:type="dxa" w:w="3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Informations clients</w:t>
            </w:r>
          </w:p>
        </w:tc>
        <w:tc>
          <w:tcPr>
            <w:tcW w:type="dxa" w:w="3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27,709 lignes</w:t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Particularités API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Pagination : 500 items/page via pageNumber et nPerPage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Mode incrémental : filtre par dateFrom (champ date)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Full reload : supprimer le watermark dans bronze_meta.run_log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Déduplication nécessaire par setUpOn (version la plus récente)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4.2 SURGE (Google Drive)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Dossier : surge_daily_logs/ (Google Drive partagé)</w:t>
      </w:r>
    </w:p>
    <w:p>
      <w:pPr>
        <w:spacing w:after="100" w:before="1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700"/>
      </w:tblGrid>
      <w:tr>
        <w:trPr>
          <w:tblHeader/>
        </w:trPr>
        <w:tc>
          <w:tcPr>
            <w:tcW w:type="dxa" w:w="2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Exported_Installations-*.csv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Contrats SURGE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69,574 lignes</w:t>
            </w:r>
          </w:p>
        </w:tc>
      </w:tr>
      <w:tr>
        <w:tc>
          <w:tcPr>
            <w:tcW w:type="dxa" w:w="2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 Payments Log CSV</w:t>
            </w:r>
          </w:p>
        </w:tc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Toutes transactions</w:t>
            </w:r>
          </w:p>
        </w:tc>
        <w:tc>
          <w:tcPr>
            <w:tcW w:type="dxa" w:w="2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3,170,588 lignes (374 MB)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surge_lease_engine.csv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Historique mensuel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2,780,276 lignes (1.2 GB)</w:t>
            </w:r>
          </w:p>
        </w:tc>
      </w:tr>
      <w:tr>
        <w:tc>
          <w:tcPr>
            <w:tcW w:type="dxa" w:w="2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asset_mapping.csv</w:t>
            </w:r>
          </w:p>
        </w:tc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Mapping kit → contrat</w:t>
            </w:r>
          </w:p>
        </w:tc>
        <w:tc>
          <w:tcPr>
            <w:tcW w:type="dxa" w:w="2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79,326 lignes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surge_product_lookup.xlsx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Tarifs et conditions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67,199 lignes</w:t>
            </w:r>
          </w:p>
        </w:tc>
      </w:tr>
      <w:tr>
        <w:tc>
          <w:tcPr>
            <w:tcW w:type="dxa" w:w="2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surge_neotci_list.csv</w:t>
            </w:r>
          </w:p>
        </w:tc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Portefeuille NEoT Capital</w:t>
            </w:r>
          </w:p>
        </w:tc>
        <w:tc>
          <w:tcPr>
            <w:tcW w:type="dxa" w:w="2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51,280 lignes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5. Couche Silver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5.1 Tables UPYA</w:t>
      </w:r>
    </w:p>
    <w:p>
      <w:pPr>
        <w:pStyle w:val="Heading3"/>
        <w:spacing w:after="100" w:before="200"/>
        <w:rPr>
          <w:b/>
          <w:bCs/>
          <w:color w:val="1A1A1A"/>
          <w:sz w:val="22"/>
          <w:szCs w:val="22"/>
        </w:rPr>
      </w:pPr>
      <w:r>
        <w:t xml:space="preserve">silver.upya_contracts (v3)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contract_number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 PK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entity_name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TEVIA ou GREENO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ENABLED / LOCKED / REPOSSESSED / PAID_OFF / CANCELLED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signing_date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de signature = paid_date EFA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repossession_date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de repossession (repossessionDate API)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paid_off_date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de solde total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total_cost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Valeur totale du contrat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upfront_payment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Acompte initial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monthly_payment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Mensualité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asset_number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Numéro du kit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  <w:rPr>
          <w:b/>
          <w:bCs/>
          <w:color w:val="1A1A1A"/>
          <w:sz w:val="22"/>
          <w:szCs w:val="22"/>
        </w:rPr>
      </w:pPr>
      <w:r>
        <w:t xml:space="preserve">silver.upya_payments (v2)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 PK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contract_number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Lien contrat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du paiement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Montant XOF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payment_code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Type : DOWNPAYMENT_SUCCESS / PAYMENT_SUCCESS / FINAL_PAYMENT...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ACCEPTED / REVERSED</w:t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Classification payment_code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upfront → DOWNPAYMENT_SUCCESS, INCOMPLETE_DOWNPAYMENT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recharge → PAYMENT_SUCCESS, INCOMPLETE_PAYMENT, FINAL_PAYMENT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exclus → REVERSED, SURVEY_SUCCESS</w:t>
      </w:r>
    </w:p>
    <w:p>
      <w:pPr>
        <w:spacing w:after="100" w:before="100"/>
      </w:pPr>
    </w:p>
    <w:p>
      <w:pPr>
        <w:pStyle w:val="Heading3"/>
        <w:spacing w:after="100" w:before="200"/>
        <w:rPr>
          <w:b/>
          <w:bCs/>
          <w:color w:val="1A1A1A"/>
          <w:sz w:val="22"/>
          <w:szCs w:val="22"/>
        </w:rPr>
      </w:pPr>
      <w:r>
        <w:t xml:space="preserve">silver.upya_assets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asset_id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 PK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Identifiant asset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contract_number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Lien contrat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payg_number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Numéro PAYG du kit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deploy_date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⚠️ Date installation physique = registration_date EFA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INSTOCK / DEPLOYED / DEFECTIVE</w:t>
            </w:r>
          </w:p>
        </w:tc>
      </w:tr>
    </w:tbl>
    <w:p>
      <w:r>
        <w:br w:type="page"/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5.2 Tables SURGE</w:t>
      </w:r>
    </w:p>
    <w:p>
      <w:pPr>
        <w:pStyle w:val="Heading3"/>
        <w:spacing w:after="100" w:before="200"/>
        <w:rPr>
          <w:b/>
          <w:bCs/>
          <w:color w:val="1A1A1A"/>
          <w:sz w:val="22"/>
          <w:szCs w:val="22"/>
        </w:rPr>
      </w:pPr>
      <w:r>
        <w:t xml:space="preserve">silver.surge_contracts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installation_id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paid_at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activation = registration_date EFA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activated_at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activation CRM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ENABLED / LOCKED / REPOSSESSED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unlocked_until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de déverrouillage actuelle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removed_at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de repossession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total_paid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Total payé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  <w:rPr>
          <w:b/>
          <w:bCs/>
          <w:color w:val="1A1A1A"/>
          <w:sz w:val="22"/>
          <w:szCs w:val="22"/>
        </w:rPr>
      </w:pPr>
      <w:r>
        <w:t xml:space="preserve">silver.surge_payments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</w:tblGrid>
      <w:tr>
        <w:trPr>
          <w:tblHeader/>
        </w:trPr>
        <w:tc>
          <w:tcPr>
            <w:tcW w:type="dxa" w:w="2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 PK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Numéro de compte = asset_number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paid_time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du paiement</w:t>
            </w:r>
          </w:p>
        </w:tc>
      </w:tr>
      <w:tr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Montant XOF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Processed / REVERSED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/>
          <w:iCs/>
          <w:color w:val="1A1A1A"/>
          <w:sz w:val="20"/>
          <w:szCs w:val="20"/>
        </w:rPr>
        <w:t xml:space="preserve">Volume : 3,170,588 transactions jusqu'au 05/07/2026</w:t>
      </w:r>
    </w:p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6. Couche Gold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6.1 gold.unified_contracts (vue v6)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Vue unifiée de tous les contrats UPYA et SURGE. Fichier : gold/unified_contracts.sql</w:t>
      </w:r>
    </w:p>
    <w:p>
      <w:pPr>
        <w:spacing w:after="100" w:before="1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rPr>
          <w:tblHeader/>
        </w:trPr>
        <w:tc>
          <w:tcPr>
            <w:tcW w:type="dxa" w:w="2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categorie</w:t>
            </w:r>
          </w:p>
        </w:tc>
        <w:tc>
          <w:tcPr>
            <w:tcW w:type="dxa" w:w="5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upya_tevia</w:t>
            </w:r>
          </w:p>
        </w:tc>
        <w:tc>
          <w:tcPr>
            <w:tcW w:type="dxa" w:w="5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Contrats UPYA (TEVIA + GREENO)</w:t>
            </w:r>
          </w:p>
        </w:tc>
      </w:tr>
      <w:tr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surge_tevia</w:t>
            </w:r>
          </w:p>
        </w:tc>
        <w:tc>
          <w:tcPr>
            <w:tcW w:type="dxa" w:w="5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Contrats SURGE depuis avril 2024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surge_neotci</w:t>
            </w:r>
          </w:p>
        </w:tc>
        <w:tc>
          <w:tcPr>
            <w:tcW w:type="dxa" w:w="5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Portefeuille NEoT Capital</w:t>
            </w:r>
          </w:p>
        </w:tc>
      </w:tr>
      <w:tr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surge_zeci</w:t>
            </w:r>
          </w:p>
        </w:tc>
        <w:tc>
          <w:tcPr>
            <w:tcW w:type="dxa" w:w="5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Anciens contrats SURGE</w:t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Mapping des colonnes clés 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000"/>
      </w:tblGrid>
      <w:tr>
        <w:trPr>
          <w:tblHeader/>
        </w:trPr>
        <w:tc>
          <w:tcPr>
            <w:tcW w:type="dxa" w:w="2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UPYA</w:t>
            </w:r>
          </w:p>
        </w:tc>
        <w:tc>
          <w:tcPr>
            <w:tcW w:type="dxa" w:w="3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SURGE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registration_date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deploy_date (upya_assets)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paid_at (surge_contracts)</w:t>
            </w:r>
          </w:p>
        </w:tc>
      </w:tr>
      <w:tr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paid_date</w:t>
            </w:r>
          </w:p>
        </w:tc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signing_date</w:t>
            </w:r>
          </w:p>
        </w:tc>
        <w:tc>
          <w:tcPr>
            <w:tcW w:type="dxa" w:w="3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paid_at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repossession_date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repossessionDate API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removed_at</w:t>
            </w:r>
          </w:p>
        </w:tc>
      </w:tr>
      <w:tr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paid_off_date</w:t>
            </w:r>
          </w:p>
        </w:tc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paidOffDate API</w:t>
            </w:r>
          </w:p>
        </w:tc>
        <w:tc>
          <w:tcPr>
            <w:tcW w:type="dxa" w:w="3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surge_paid_off_contracts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consecutive_locked_days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Calculé depuis next_status_update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Calculé depuis unlocked_until</w:t>
            </w:r>
          </w:p>
        </w:tc>
      </w:tr>
    </w:tbl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6.2 gold.unified_snapshot (table)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Historique de l'état des contrats par date de snapshot.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UPYA : snapshots quotidiens depuis février 2025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SURGE : snapshots mensuels depuis avril 2024 (via lease_engine + surge_payments)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CLD UPYA : patché depuis pvp_linearized_reviewed_v4 (1,491,665 lignes)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CLD SURGE : reconstruit depuis borne gauche (snapshot Mar 7) + transactions post-mars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6.3 gold.collection_rate_monthly (vue v3)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Collection Rate mensuel pour le rapport EFA.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Périmètre : surge_tevia + upya_tevia TEVIA uniquement (GREENO exclu)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Formule Collection Rate 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 = Σ(paid_upfront + paid_recharge + paid_full)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/ Σ(expected_upfront + expected_recharge + expected_full)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Fichier : gold/collection_rate_monthly.sql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6.4 gold.unified_transactions (table)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Toutes les transactions UPYA et SURGE normalisées. Volume : 254,301 transactions.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500"/>
      </w:tblGrid>
      <w:tr>
        <w:trPr>
          <w:tblHeader/>
        </w:trPr>
        <w:tc>
          <w:tcPr>
            <w:tcW w:type="dxa" w:w="2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Nb transactions</w:t>
            </w:r>
          </w:p>
        </w:tc>
        <w:tc>
          <w:tcPr>
            <w:tcW w:type="dxa" w:w="3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Montant total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UPYA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111,009 tx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1.6 Mrd XOF</w:t>
            </w:r>
          </w:p>
        </w:tc>
      </w:tr>
      <w:tr>
        <w:tc>
          <w:tcPr>
            <w:tcW w:type="dxa" w:w="2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</w:t>
            </w:r>
          </w:p>
        </w:tc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143,294 tx</w:t>
            </w:r>
          </w:p>
        </w:tc>
        <w:tc>
          <w:tcPr>
            <w:tcW w:type="dxa" w:w="3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1.6 Mrd XOF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7. Rapport EFA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7.1 Définitions des KPIs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3500"/>
      </w:tblGrid>
      <w:tr>
        <w:trPr>
          <w:tblHeader/>
        </w:trPr>
        <w:tc>
          <w:tcPr>
            <w:tcW w:type="dxa" w:w="1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7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  <w:tc>
          <w:tcPr>
            <w:tcW w:type="dxa" w:w="3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 actif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 non en défaut ou défaut ≤ 60j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CLD ≤ 60 jours</w:t>
            </w:r>
          </w:p>
        </w:tc>
      </w:tr>
      <w:tr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Write-off</w:t>
            </w:r>
          </w:p>
        </w:tc>
        <w:tc>
          <w:tcPr>
            <w:tcW w:type="dxa" w:w="2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 hors portefeuille EFA</w:t>
            </w:r>
          </w:p>
        </w:tc>
        <w:tc>
          <w:tcPr>
            <w:tcW w:type="dxa" w:w="3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CLD &gt; 120 jours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Collection Rate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Taux de recouvrement mensuel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Σ payé / Σ attendu</w:t>
            </w:r>
          </w:p>
        </w:tc>
      </w:tr>
      <w:tr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New Default Rate</w:t>
            </w:r>
          </w:p>
        </w:tc>
        <w:tc>
          <w:tcPr>
            <w:tcW w:type="dxa" w:w="2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Taux d'entrée en défaut</w:t>
            </w:r>
          </w:p>
        </w:tc>
        <w:tc>
          <w:tcPr>
            <w:tcW w:type="dxa" w:w="3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nb(60j≤CLD≤90j) / nb actifs(CLD≤120j)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Repossession Rate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Taux de repossession mensuel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nb new repos / nb(CLD&gt;90j)</w:t>
            </w:r>
          </w:p>
        </w:tc>
      </w:tr>
      <w:tr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Receivables</w:t>
            </w:r>
          </w:p>
        </w:tc>
        <w:tc>
          <w:tcPr>
            <w:tcW w:type="dxa" w:w="2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Montant restant dû</w:t>
            </w:r>
          </w:p>
        </w:tc>
        <w:tc>
          <w:tcPr>
            <w:tcW w:type="dxa" w:w="3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total_contract_value - total_paid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7.2 Résultats validés par EDF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1700"/>
        <w:gridCol w:w="1000"/>
        <w:gridCol w:w="1300"/>
        <w:gridCol w:w="1200"/>
      </w:tblGrid>
      <w:tr>
        <w:trPr>
          <w:tblHeader/>
        </w:trPr>
        <w:tc>
          <w:tcPr>
            <w:tcW w:type="dxa" w:w="1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Mois</w:t>
            </w:r>
          </w:p>
        </w:tc>
        <w:tc>
          <w:tcPr>
            <w:tcW w:type="dxa" w:w="1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Contrats</w:t>
            </w:r>
          </w:p>
        </w:tc>
        <w:tc>
          <w:tcPr>
            <w:tcW w:type="dxa" w:w="16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 (EUR)</w:t>
            </w:r>
          </w:p>
        </w:tc>
        <w:tc>
          <w:tcPr>
            <w:tcW w:type="dxa" w:w="17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Receivables (EUR)</w:t>
            </w:r>
          </w:p>
        </w:tc>
        <w:tc>
          <w:tcPr>
            <w:tcW w:type="dxa" w:w="1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CR%</w:t>
            </w:r>
          </w:p>
        </w:tc>
        <w:tc>
          <w:tcPr>
            <w:tcW w:type="dxa" w:w="13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New Default%</w:t>
            </w:r>
          </w:p>
        </w:tc>
        <w:tc>
          <w:tcPr>
            <w:tcW w:type="dxa" w:w="1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 Rate%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Jan 2026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16,443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15,333,903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11,987,365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70.25%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Fév 2026</w:t>
            </w:r>
          </w:p>
        </w:tc>
        <w:tc>
          <w:tcPr>
            <w:tcW w:type="dxa" w:w="1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17,716</w:t>
            </w:r>
          </w:p>
        </w:tc>
        <w:tc>
          <w:tcPr>
            <w:tcW w:type="dxa" w:w="16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16,290,402</w:t>
            </w:r>
          </w:p>
        </w:tc>
        <w:tc>
          <w:tcPr>
            <w:tcW w:type="dxa" w:w="1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12,799,278</w:t>
            </w:r>
          </w:p>
        </w:tc>
        <w:tc>
          <w:tcPr>
            <w:tcW w:type="dxa" w:w="1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68.54%</w:t>
            </w:r>
          </w:p>
        </w:tc>
        <w:tc>
          <w:tcPr>
            <w:tcW w:type="dxa" w:w="13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Mar 2026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17,714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16,288,527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12,799,278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74.20%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Avr 2026</w:t>
            </w:r>
          </w:p>
        </w:tc>
        <w:tc>
          <w:tcPr>
            <w:tcW w:type="dxa" w:w="1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17,714</w:t>
            </w:r>
          </w:p>
        </w:tc>
        <w:tc>
          <w:tcPr>
            <w:tcW w:type="dxa" w:w="16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16,288,527</w:t>
            </w:r>
          </w:p>
        </w:tc>
        <w:tc>
          <w:tcPr>
            <w:tcW w:type="dxa" w:w="1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12,799,278</w:t>
            </w:r>
          </w:p>
        </w:tc>
        <w:tc>
          <w:tcPr>
            <w:tcW w:type="dxa" w:w="1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71.52%</w:t>
            </w:r>
          </w:p>
        </w:tc>
        <w:tc>
          <w:tcPr>
            <w:tcW w:type="dxa" w:w="13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19,272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17,239,306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11,389,711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68.73%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0.62%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8.26%</w:t>
            </w:r>
          </w:p>
        </w:tc>
      </w:tr>
      <w:tr>
        <w:tc>
          <w:tcPr>
            <w:tcW w:type="dxa" w:w="1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Juin 2026</w:t>
            </w:r>
          </w:p>
        </w:tc>
        <w:tc>
          <w:tcPr>
            <w:tcW w:type="dxa" w:w="1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19,162</w:t>
            </w:r>
          </w:p>
        </w:tc>
        <w:tc>
          <w:tcPr>
            <w:tcW w:type="dxa" w:w="16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17,129,599</w:t>
            </w:r>
          </w:p>
        </w:tc>
        <w:tc>
          <w:tcPr>
            <w:tcW w:type="dxa" w:w="17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11,211,888</w:t>
            </w:r>
          </w:p>
        </w:tc>
        <w:tc>
          <w:tcPr>
            <w:tcW w:type="dxa" w:w="1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72.36%</w:t>
            </w:r>
          </w:p>
        </w:tc>
        <w:tc>
          <w:tcPr>
            <w:tcW w:type="dxa" w:w="13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0.99%</w:t>
            </w:r>
          </w:p>
        </w:tc>
        <w:tc>
          <w:tcPr>
            <w:tcW w:type="dxa" w:w="1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35.14%</w:t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1A1A1A"/>
          <w:sz w:val="20"/>
          <w:szCs w:val="20"/>
        </w:rPr>
        <w:t xml:space="preserve">Note : Aging Jan-Avr en cours de finalisation (CLD historique en reconstruction). Taux de change : 1 EUR = 655,957 XOF (taux fixe BCEAO).</w:t>
      </w:r>
    </w:p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8. Règles métier critiques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⚠️ Ces règles ont été validées par TEVIA ENERGIE. Ne pas modifier sans validation.</w:t>
      </w:r>
    </w:p>
    <w:p>
      <w:pPr>
        <w:spacing w:after="100" w:before="1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300"/>
      </w:tblGrid>
      <w:tr>
        <w:trPr>
          <w:tblHeader/>
        </w:trPr>
        <w:tc>
          <w:tcPr>
            <w:tcW w:type="dxa" w:w="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53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registration_date UPYA</w:t>
            </w:r>
          </w:p>
        </w:tc>
        <w:tc>
          <w:tcPr>
            <w:tcW w:type="dxa" w:w="53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deploy_date depuis upya_assets (installation physique), PAS signing_date</w:t>
            </w:r>
          </w:p>
        </w:tc>
      </w:tr>
      <w:tr>
        <w:tc>
          <w:tcPr>
            <w:tcW w:type="dxa" w:w="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paid_date UPYA</w:t>
            </w:r>
          </w:p>
        </w:tc>
        <w:tc>
          <w:tcPr>
            <w:tcW w:type="dxa" w:w="53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signing_date (date de signature du contrat)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repossession_date UPYA</w:t>
            </w:r>
          </w:p>
        </w:tc>
        <w:tc>
          <w:tcPr>
            <w:tcW w:type="dxa" w:w="53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repossessionDate depuis l'API UPYA</w:t>
            </w:r>
          </w:p>
        </w:tc>
      </w:tr>
      <w:tr>
        <w:tc>
          <w:tcPr>
            <w:tcW w:type="dxa" w:w="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repossession_date SURGE</w:t>
            </w:r>
          </w:p>
        </w:tc>
        <w:tc>
          <w:tcPr>
            <w:tcW w:type="dxa" w:w="53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removed_at depuis silver.surge_contracts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FINAL_PAYMENT</w:t>
            </w:r>
          </w:p>
        </w:tc>
        <w:tc>
          <w:tcPr>
            <w:tcW w:type="dxa" w:w="53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Classé comme recharge (pas upfront) — dernier versement mensuel</w:t>
            </w:r>
          </w:p>
        </w:tc>
      </w:tr>
      <w:tr>
        <w:tc>
          <w:tcPr>
            <w:tcW w:type="dxa" w:w="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Write-off</w:t>
            </w:r>
          </w:p>
        </w:tc>
        <w:tc>
          <w:tcPr>
            <w:tcW w:type="dxa" w:w="53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CLD &gt; 120 jours → exclu du portefeuille EFA selon définition EDF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Collection Rate</w:t>
            </w:r>
          </w:p>
        </w:tc>
        <w:tc>
          <w:tcPr>
            <w:tcW w:type="dxa" w:w="53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Calculé au niveau portefeuille (Σpayé/Σattendu), jamais moyenne individuelle</w:t>
            </w:r>
          </w:p>
        </w:tc>
      </w:tr>
      <w:tr>
        <w:tc>
          <w:tcPr>
            <w:tcW w:type="dxa" w:w="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Période de gratuité</w:t>
            </w:r>
          </w:p>
        </w:tc>
        <w:tc>
          <w:tcPr>
            <w:tcW w:type="dxa" w:w="53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30 jours après registration_date → pas d'expected recharge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GREENO</w:t>
            </w:r>
          </w:p>
        </w:tc>
        <w:tc>
          <w:tcPr>
            <w:tcW w:type="dxa" w:w="53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Exclu du rapport EFA TEVIA → rapport séparé à venir</w:t>
            </w:r>
          </w:p>
        </w:tc>
      </w:tr>
      <w:tr>
        <w:tc>
          <w:tcPr>
            <w:tcW w:type="dxa" w:w="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surge_tevia</w:t>
            </w:r>
          </w:p>
        </w:tc>
        <w:tc>
          <w:tcPr>
            <w:tcW w:type="dxa" w:w="53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paid_at &gt;= 2024-04-01 ET hors surge_neotci_list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Taux de change</w:t>
            </w:r>
          </w:p>
        </w:tc>
        <w:tc>
          <w:tcPr>
            <w:tcW w:type="dxa" w:w="53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1 EUR = 655,957 XOF (taux fixe BCEAO — ne pas utiliser taux variable)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9. Runbook opérationnel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9.1 Mise à jour quotidienne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~/Documents/paygo-pipeline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1. Extraction Bronze UPYA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bronze/upya/generic_extractor.py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2. Chargement Silver UPYA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silver/upya/contracts_loader.py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silver/upya/payments_loader.py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silver/upya/generic_loader.py assets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3. Snapshot quotidien Gold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gold/snapshot_builder.py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9.2 Extraction SURGE (mensuelle)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bronze/surge/surge_extractor.py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silver/surge/payments_loader.py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silver/surge/contracts_loader.py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9.3 Full reload payments UPYA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1. Supprimer le watermark dans bronze_meta.run_log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2. Changer default_start dans generic_extractor.py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3. Extraire Bronze : python bronze/upya/generic_extractor.py payments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4. Drop table silver.upya_payments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0"/>
          <w:szCs w:val="20"/>
        </w:rPr>
        <w:t xml:space="preserve">5. Recharger : python silver/upya/payments_loader.py</w:t>
      </w:r>
    </w:p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10. Bugs connus et corrections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000"/>
      </w:tblGrid>
      <w:tr>
        <w:trPr>
          <w:tblHeader/>
        </w:trPr>
        <w:tc>
          <w:tcPr>
            <w:tcW w:type="dxa" w:w="18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22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Mar = Avr snapshots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Mêmes données pour mars et avril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Snapshots UPYA manquants (week-ends)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En cours</w:t>
            </w:r>
          </w:p>
        </w:tc>
      </w:tr>
      <w:tr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deploy_date NULL</w:t>
            </w:r>
          </w:p>
        </w:tc>
        <w:tc>
          <w:tcPr>
            <w:tcW w:type="dxa" w:w="2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255 assets juin sans deploy_date</w:t>
            </w:r>
          </w:p>
        </w:tc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Contrats signés non encore installés</w:t>
            </w:r>
          </w:p>
        </w:tc>
        <w:tc>
          <w:tcPr>
            <w:tcW w:type="dxa" w:w="2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Corrigé (1,307 patchés)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CLD = 0 Jan-Avr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Aging entier en pas_de_retard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CLD non migré lors création snapshots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En cours (reconstruction)</w:t>
            </w:r>
          </w:p>
        </w:tc>
      </w:tr>
      <w:tr>
        <w:tc>
          <w:tcPr>
            <w:tcW w:type="dxa" w:w="18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GREENO dans EFA</w:t>
            </w:r>
          </w:p>
        </w:tc>
        <w:tc>
          <w:tcPr>
            <w:tcW w:type="dxa" w:w="2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nb_contrats surestimé (~2,500)</w:t>
            </w:r>
          </w:p>
        </w:tc>
        <w:tc>
          <w:tcPr>
            <w:tcW w:type="dxa" w:w="22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Filtre entite manquant</w:t>
            </w:r>
          </w:p>
        </w:tc>
        <w:tc>
          <w:tcPr>
            <w:tcW w:type="dxa" w:w="2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Corrigé (filtre ajouté)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CR cassé ancien système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CR sous-estimé pour SURGE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Script pointait ancienne table SURGE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Corrigé (nouveau pipeline)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6"/>
        </w:pBdr>
        <w:spacing w:after="200" w:before="400"/>
        <w:rPr>
          <w:b/>
          <w:bCs/>
          <w:color w:val="1E3A5F"/>
          <w:sz w:val="28"/>
          <w:szCs w:val="28"/>
        </w:rPr>
      </w:pPr>
      <w:r>
        <w:t xml:space="preserve">11. Dictionnaire de données</w:t>
      </w:r>
    </w:p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11.1 Termes PAYGO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rPr>
          <w:tblHeader/>
        </w:trPr>
        <w:tc>
          <w:tcPr>
            <w:tcW w:type="dxa" w:w="2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5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CLD</w:t>
            </w:r>
          </w:p>
        </w:tc>
        <w:tc>
          <w:tcPr>
            <w:tcW w:type="dxa" w:w="5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Consecutive Locked Days — jours consécutifs sans recharge</w:t>
            </w:r>
          </w:p>
        </w:tc>
      </w:tr>
      <w:tr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Upfront / Deposit</w:t>
            </w:r>
          </w:p>
        </w:tc>
        <w:tc>
          <w:tcPr>
            <w:tcW w:type="dxa" w:w="5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Acompte initial à la signature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Recharge</w:t>
            </w:r>
          </w:p>
        </w:tc>
        <w:tc>
          <w:tcPr>
            <w:tcW w:type="dxa" w:w="5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Paiement pour acheter des jours de lumière</w:t>
            </w:r>
          </w:p>
        </w:tc>
      </w:tr>
      <w:tr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Daily rate</w:t>
            </w:r>
          </w:p>
        </w:tc>
        <w:tc>
          <w:tcPr>
            <w:tcW w:type="dxa" w:w="5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monthly_payment / 30 — coût par jour de lumière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Unlocked until</w:t>
            </w:r>
          </w:p>
        </w:tc>
        <w:tc>
          <w:tcPr>
            <w:tcW w:type="dxa" w:w="5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Date jusqu'à laquelle le kit est déverrouillé</w:t>
            </w:r>
          </w:p>
        </w:tc>
      </w:tr>
      <w:tr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PAYG</w:t>
            </w:r>
          </w:p>
        </w:tc>
        <w:tc>
          <w:tcPr>
            <w:tcW w:type="dxa" w:w="5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Pay-As-You-Go — mode de financement à la journée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5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Achat cash — paiement intégral à la signature</w:t>
            </w:r>
          </w:p>
        </w:tc>
      </w:tr>
      <w:tr>
        <w:tc>
          <w:tcPr>
            <w:tcW w:type="dxa" w:w="2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PAR</w:t>
            </w:r>
          </w:p>
        </w:tc>
        <w:tc>
          <w:tcPr>
            <w:tcW w:type="dxa" w:w="5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Portfolio At Risk — receivables par tranche de retard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EFA</w:t>
            </w:r>
          </w:p>
        </w:tc>
        <w:tc>
          <w:tcPr>
            <w:tcW w:type="dxa" w:w="5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État Financier Annoté — rapport mensuel pour le bailleur</w:t>
            </w:r>
          </w:p>
        </w:tc>
      </w:tr>
    </w:tbl>
    <w:p>
      <w:pPr>
        <w:pStyle w:val="Heading2"/>
        <w:spacing w:after="150" w:before="300"/>
        <w:rPr>
          <w:b/>
          <w:bCs/>
          <w:color w:val="1E3A5F"/>
          <w:sz w:val="24"/>
          <w:szCs w:val="24"/>
        </w:rPr>
      </w:pPr>
      <w:r>
        <w:t xml:space="preserve">11.2 Statuts contrat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500"/>
      </w:tblGrid>
      <w:tr>
        <w:trPr>
          <w:tblHeader/>
        </w:trPr>
        <w:tc>
          <w:tcPr>
            <w:tcW w:type="dxa" w:w="20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00"/>
            <w:shd w:fill="1E3A5F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ENABLED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UPYA / SURGE</w:t>
            </w:r>
          </w:p>
        </w:tc>
        <w:tc>
          <w:tcPr>
            <w:tcW w:type="dxa" w:w="4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 actif, client à jour</w:t>
            </w:r>
          </w:p>
        </w:tc>
      </w:tr>
      <w:tr>
        <w:tc>
          <w:tcPr>
            <w:tcW w:type="dxa" w:w="2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LOCKED</w:t>
            </w:r>
          </w:p>
        </w:tc>
        <w:tc>
          <w:tcPr>
            <w:tcW w:type="dxa" w:w="1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UPYA / SURGE</w:t>
            </w:r>
          </w:p>
        </w:tc>
        <w:tc>
          <w:tcPr>
            <w:tcW w:type="dxa" w:w="4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 bloqué, client en retard de paiement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REPOSSESSED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UPYA / SURGE</w:t>
            </w:r>
          </w:p>
        </w:tc>
        <w:tc>
          <w:tcPr>
            <w:tcW w:type="dxa" w:w="4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Kit récupéré par l'équipe terrain</w:t>
            </w:r>
          </w:p>
        </w:tc>
      </w:tr>
      <w:tr>
        <w:tc>
          <w:tcPr>
            <w:tcW w:type="dxa" w:w="20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PAID_OFF</w:t>
            </w:r>
          </w:p>
        </w:tc>
        <w:tc>
          <w:tcPr>
            <w:tcW w:type="dxa" w:w="1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UPYA</w:t>
            </w:r>
          </w:p>
        </w:tc>
        <w:tc>
          <w:tcPr>
            <w:tcW w:type="dxa" w:w="4500"/>
            <w:shd w:fill="EBF0F7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 soldé — kit appartient au client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CANCELLED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UPYA</w:t>
            </w:r>
          </w:p>
        </w:tc>
        <w:tc>
          <w:tcPr>
            <w:tcW w:type="dxa" w:w="4500"/>
            <w:shd w:fill="FFFFFF" w:val="clear"/>
          </w:tcPr>
          <w:p>
            <w:pPr>
              <w:spacing w:after="60" w:before="60"/>
            </w:pPr>
            <w:r>
              <w:rPr>
                <w:color w:val="1A1A1A"/>
                <w:sz w:val="18"/>
                <w:szCs w:val="18"/>
              </w:rPr>
              <w:t xml:space="preserve">Contrat annulé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— Fin de document —</w:t>
      </w:r>
    </w:p>
    <w:p>
      <w:pPr>
        <w:spacing w:before="100"/>
        <w:jc w:val="center"/>
      </w:pPr>
      <w:r>
        <w:rPr>
          <w:color w:val="AAAAAA"/>
          <w:sz w:val="16"/>
          <w:szCs w:val="16"/>
        </w:rPr>
        <w:t xml:space="preserve">PAYGO Lakehouse Documentation v1.0 — TEVIA ENERGIE — Juillet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b/>
      <w:bCs/>
      <w:color w:val="1E3A5F"/>
      <w:sz w:val="28"/>
      <w:szCs w:val="28"/>
    </w:rPr>
  </w:style>
  <w:style w:type="paragraph" w:styleId="Heading2">
    <w:name w:val="Heading 2"/>
    <w:basedOn w:val="Normal"/>
    <w:pPr>
      <w:spacing w:after="150" w:before="300"/>
    </w:pPr>
    <w:rPr>
      <w:b/>
      <w:bCs/>
      <w:color w:val="1E3A5F"/>
      <w:sz w:val="24"/>
      <w:szCs w:val="24"/>
    </w:rPr>
  </w:style>
  <w:style w:type="paragraph" w:styleId="Heading3">
    <w:name w:val="Heading 3"/>
    <w:basedOn w:val="Normal"/>
    <w:pPr>
      <w:spacing w:after="100" w:before="200"/>
    </w:pPr>
    <w:rPr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PAYGO Lakehouse — Documentation Technique Officielle</dc:title>
  <dc:creator>Tanguy B. Yao</dc:creator>
  <dc:description>Documentation complète du pipeline ETL Data Lakehouse TEVIA ENERGIE</dc:description>
  <cp:lastModifiedBy>Un-named</cp:lastModifiedBy>
  <cp:revision>1</cp:revision>
  <dcterms:created xsi:type="dcterms:W3CDTF">2026-07-10T20:56:01.262Z</dcterms:created>
  <dcterms:modified xsi:type="dcterms:W3CDTF">2026-07-10T20:56:01.276Z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