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66"/>
          <w:sz w:val="22"/>
          <w:szCs w:val="22"/>
        </w:rPr>
        <w:t xml:space="preserve">Proposition de sujet de TFE</w:t>
      </w:r>
    </w:p>
    <w:p>
      <w:pPr>
        <w:spacing w:after="240"/>
      </w:pPr>
      <w:r>
        <w:rPr>
          <w:b/>
          <w:bCs/>
          <w:color w:val="1F4E79"/>
          <w:sz w:val="30"/>
          <w:szCs w:val="30"/>
        </w:rPr>
        <w:t xml:space="preserve">Développement et évaluation d'un agent d'intelligence artificielle pour l'audit automatisé de réseaux IoMT (Internet of Medical Things)</w:t>
      </w:r>
    </w:p>
    <w:p>
      <w:pPr>
        <w:pBdr>
          <w:bottom w:val="single" w:color="CCCCCC" w:sz="6" w:space="1"/>
        </w:pBdr>
        <w:spacing w:after="120" w:before="120"/>
      </w:pPr>
    </w:p>
    <w:p>
      <w:pPr>
        <w:pStyle w:val="Heading1"/>
        <w:spacing w:after="120" w:before="240"/>
      </w:pPr>
      <w:r>
        <w:t xml:space="preserve">Contexte</w:t>
      </w:r>
    </w:p>
    <w:p>
      <w:pPr>
        <w:spacing w:after="120"/>
      </w:pPr>
      <w:r>
        <w:t xml:space="preserve">Les environnements hospitaliers et de télésanté reposent de plus en plus sur des équipements médicaux connectés : moniteurs de signes vitaux, pompes à perfusion, passerelles de télémétrie, serveurs d'imagerie (PACS), objets de suivi patient. Ces dispositifs communiquent via des protocoles spécifiques (HL7, DICOM, MQTT, BLE) et cohabitent avec l'informatique de gestion, ce qui élargit la surface d'attaque tout en imposant de fortes contraintes : continuité des soins, sûreté patient, protection des données de santé (RGPD).</w:t>
      </w:r>
    </w:p>
    <w:p>
      <w:pPr>
        <w:spacing w:after="120"/>
      </w:pPr>
      <w:r>
        <w:t xml:space="preserve">L'audit de sécurité d'un tel réseau consiste à découvrir les équipements et leurs services, à identifier des vulnérabilités potentielles et à vérifier les résultats obtenus. Un premier outil d'audit fondé sur des modèles de langage et des outils d'analyse est déjà disponible ; il réalise ces opérations sur des réseaux virtuels contrôlés à vocation IoT généraliste.</w:t>
      </w:r>
    </w:p>
    <w:p>
      <w:pPr>
        <w:spacing w:after="120"/>
      </w:pPr>
      <w:r>
        <w:t xml:space="preserve">Le travail consistera à spécialiser et étendre cet outil au domaine IoMT, puis à évaluer les gains obtenus par rapport à la version initiale. L'ensemble des expérimentations se déroule sur des réseaux virtuels isolés (aucun dispositif médical réel), dans un cadre d'audit strictement défensif.</w:t>
      </w:r>
    </w:p>
    <w:p>
      <w:pPr>
        <w:pStyle w:val="Heading1"/>
        <w:spacing w:after="120" w:before="240"/>
      </w:pPr>
      <w:r>
        <w:t xml:space="preserve">Objectifs</w:t>
      </w:r>
    </w:p>
    <w:p>
      <w:pPr>
        <w:pStyle w:val="ListParagraph"/>
        <w:numPr>
          <w:ilvl w:val="0"/>
          <w:numId w:val="1"/>
        </w:numPr>
        <w:spacing w:after="60"/>
      </w:pPr>
      <w:r>
        <w:t xml:space="preserve">Adapter la découverte d'équipements et l'identification de vulnérabilités aux spécificités des réseaux médicaux (protocoles, types d'appareils cliniques).</w:t>
      </w:r>
    </w:p>
    <w:p>
      <w:pPr>
        <w:pStyle w:val="ListParagraph"/>
        <w:numPr>
          <w:ilvl w:val="0"/>
          <w:numId w:val="1"/>
        </w:numPr>
        <w:spacing w:after="60"/>
      </w:pPr>
      <w:r>
        <w:t xml:space="preserve">Intégrer des méthodes de vérification des constats non intrusives, compatibles avec un contexte où l'on ne peut perturber un dispositif de soin.</w:t>
      </w:r>
    </w:p>
    <w:p>
      <w:pPr>
        <w:pStyle w:val="ListParagraph"/>
        <w:numPr>
          <w:ilvl w:val="0"/>
          <w:numId w:val="1"/>
        </w:numPr>
        <w:spacing w:after="60"/>
      </w:pPr>
      <w:r>
        <w:t xml:space="preserve">Introduire une priorisation des risques tenant compte de l'impact clinique, et non uniquement du score CVSS.</w:t>
      </w:r>
    </w:p>
    <w:p>
      <w:pPr>
        <w:pStyle w:val="ListParagraph"/>
        <w:numPr>
          <w:ilvl w:val="0"/>
          <w:numId w:val="1"/>
        </w:numPr>
        <w:spacing w:after="60"/>
      </w:pPr>
      <w:r>
        <w:t xml:space="preserve">Mesurer objectivement l'apport de ces améliorations face à la version initiale.</w:t>
      </w:r>
    </w:p>
    <w:p>
      <w:pPr>
        <w:pStyle w:val="Heading1"/>
        <w:spacing w:after="120" w:before="240"/>
      </w:pPr>
      <w:r>
        <w:t xml:space="preserve">Étapes</w:t>
      </w:r>
    </w:p>
    <w:p>
      <w:pPr>
        <w:pStyle w:val="ListParagraph"/>
        <w:numPr>
          <w:ilvl w:val="0"/>
          <w:numId w:val="2"/>
        </w:numPr>
        <w:spacing w:after="60"/>
      </w:pPr>
      <w:r>
        <w:t xml:space="preserve">Prise en main de l'architecture existante et identification des adaptations nécessaires au contexte IoMT (protocoles, équipements, contraintes de sûreté).</w:t>
      </w:r>
    </w:p>
    <w:p>
      <w:pPr>
        <w:pStyle w:val="ListParagraph"/>
        <w:numPr>
          <w:ilvl w:val="0"/>
          <w:numId w:val="2"/>
        </w:numPr>
        <w:spacing w:after="60"/>
      </w:pPr>
      <w:r>
        <w:t xml:space="preserve">Amélioration de la découverte des équipements médicaux et de l'identification des vulnérabilités (support HL7/DICOM/BLE, empreintes d'appareils cliniques, mapping CVE spécifiques).</w:t>
      </w:r>
    </w:p>
    <w:p>
      <w:pPr>
        <w:pStyle w:val="ListParagraph"/>
        <w:numPr>
          <w:ilvl w:val="0"/>
          <w:numId w:val="2"/>
        </w:numPr>
        <w:spacing w:after="60"/>
      </w:pPr>
      <w:r>
        <w:t xml:space="preserve">Intégration de méthodes de vérification des constats et des preuves, adaptées à un environnement où la vérification passive / non intrusive est privilégiée.</w:t>
      </w:r>
    </w:p>
    <w:p>
      <w:pPr>
        <w:pStyle w:val="ListParagraph"/>
        <w:numPr>
          <w:ilvl w:val="0"/>
          <w:numId w:val="2"/>
        </w:numPr>
        <w:spacing w:after="60"/>
      </w:pPr>
      <w:r>
        <w:t xml:space="preserve">Expérimentation sur des scénarios virtuels de réseaux IoMT présentant des vulnérabilités connues.</w:t>
      </w:r>
    </w:p>
    <w:p>
      <w:pPr>
        <w:pStyle w:val="ListParagraph"/>
        <w:numPr>
          <w:ilvl w:val="0"/>
          <w:numId w:val="2"/>
        </w:numPr>
        <w:spacing w:after="60"/>
      </w:pPr>
      <w:r>
        <w:t xml:space="preserve">Comparaison des résultats avec la version initiale de l'outil (rappel, précision, F1, score pondéré par gravité).</w:t>
      </w:r>
    </w:p>
    <w:p>
      <w:pPr>
        <w:pStyle w:val="ListParagraph"/>
        <w:numPr>
          <w:ilvl w:val="0"/>
          <w:numId w:val="2"/>
        </w:numPr>
        <w:spacing w:after="60"/>
      </w:pPr>
      <w:r>
        <w:t xml:space="preserve">Analyse des résultats et recommandations pour un déploiement hospitalier.</w:t>
      </w:r>
    </w:p>
    <w:p>
      <w:pPr>
        <w:pStyle w:val="Heading1"/>
        <w:spacing w:after="120" w:before="240"/>
      </w:pPr>
      <w:r>
        <w:t xml:space="preserve">Scénario d'évaluation (banc virtuel)</w:t>
      </w:r>
    </w:p>
    <w:p>
      <w:pPr>
        <w:spacing w:after="120"/>
      </w:pPr>
      <w:r>
        <w:t xml:space="preserve">Segment hospitalier simulé, entièrement isolé (VM / conteneurs LXC, aucun dispositif médical réel), par exemple sur le sous-réseau 192.168.110.0/24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60"/>
              <w:left w:type="dxa" w:w="100"/>
              <w:bottom w:type="dxa" w:w="60"/>
              <w:right w:type="dxa" w:w="100"/>
            </w:tcMar>
          </w:tcPr>
          <w:p>
            <w:r>
              <w:rPr>
                <w:b/>
                <w:bCs/>
                <w:color w:val="FFFFFF"/>
                <w:sz w:val="18"/>
                <w:szCs w:val="18"/>
              </w:rPr>
              <w:t xml:space="preserve">Rôle</w:t>
            </w:r>
          </w:p>
        </w:tc>
        <w:tc>
          <w:tcPr>
            <w:tcW w:type="dxa" w:w="2200"/>
            <w:shd w:fill="1F4E79" w:color="auto" w:val="clear"/>
            <w:tcMar>
              <w:top w:type="dxa" w:w="60"/>
              <w:left w:type="dxa" w:w="100"/>
              <w:bottom w:type="dxa" w:w="60"/>
              <w:right w:type="dxa" w:w="100"/>
            </w:tcMar>
          </w:tcPr>
          <w:p>
            <w:r>
              <w:rPr>
                <w:b/>
                <w:bCs/>
                <w:color w:val="FFFFFF"/>
                <w:sz w:val="18"/>
                <w:szCs w:val="18"/>
              </w:rPr>
              <w:t xml:space="preserve">Simulé par</w:t>
            </w:r>
          </w:p>
        </w:tc>
        <w:tc>
          <w:tcPr>
            <w:tcW w:type="dxa" w:w="4560"/>
            <w:shd w:fill="1F4E79" w:color="auto" w:val="clear"/>
            <w:tcMar>
              <w:top w:type="dxa" w:w="60"/>
              <w:left w:type="dxa" w:w="100"/>
              <w:bottom w:type="dxa" w:w="60"/>
              <w:right w:type="dxa" w:w="100"/>
            </w:tcMar>
          </w:tcPr>
          <w:p>
            <w:r>
              <w:rPr>
                <w:b/>
                <w:bCs/>
                <w:color w:val="FFFFFF"/>
                <w:sz w:val="18"/>
                <w:szCs w:val="18"/>
              </w:rPr>
              <w:t xml:space="preserve">Vulnérabilités injectées (exemples)</w:t>
            </w:r>
          </w:p>
        </w:tc>
      </w:tr>
      <w:tr>
        <w:tc>
          <w:tcPr>
            <w:tcW w:type="dxa" w:w="2600"/>
            <w:tcMar>
              <w:top w:type="dxa" w:w="60"/>
              <w:left w:type="dxa" w:w="100"/>
              <w:bottom w:type="dxa" w:w="60"/>
              <w:right w:type="dxa" w:w="100"/>
            </w:tcMar>
          </w:tcPr>
          <w:p>
            <w:r>
              <w:rPr>
                <w:b w:val="false"/>
                <w:bCs w:val="false"/>
                <w:color w:val="000000"/>
                <w:sz w:val="18"/>
                <w:szCs w:val="18"/>
              </w:rPr>
              <w:t xml:space="preserve">Passerelle de télémétrie patient</w:t>
            </w:r>
          </w:p>
        </w:tc>
        <w:tc>
          <w:tcPr>
            <w:tcW w:type="dxa" w:w="2200"/>
            <w:tcMar>
              <w:top w:type="dxa" w:w="60"/>
              <w:left w:type="dxa" w:w="100"/>
              <w:bottom w:type="dxa" w:w="60"/>
              <w:right w:type="dxa" w:w="100"/>
            </w:tcMar>
          </w:tcPr>
          <w:p>
            <w:r>
              <w:rPr>
                <w:b w:val="false"/>
                <w:bCs w:val="false"/>
                <w:color w:val="000000"/>
                <w:sz w:val="18"/>
                <w:szCs w:val="18"/>
              </w:rPr>
              <w:t xml:space="preserve">conteneur MQTT</w:t>
            </w:r>
          </w:p>
        </w:tc>
        <w:tc>
          <w:tcPr>
            <w:tcW w:type="dxa" w:w="4560"/>
            <w:tcMar>
              <w:top w:type="dxa" w:w="60"/>
              <w:left w:type="dxa" w:w="100"/>
              <w:bottom w:type="dxa" w:w="60"/>
              <w:right w:type="dxa" w:w="100"/>
            </w:tcMar>
          </w:tcPr>
          <w:p>
            <w:r>
              <w:rPr>
                <w:b w:val="false"/>
                <w:bCs w:val="false"/>
                <w:color w:val="000000"/>
                <w:sz w:val="18"/>
                <w:szCs w:val="18"/>
              </w:rPr>
              <w:t xml:space="preserve">broker sans authentification, topics patients en clair</w:t>
            </w:r>
          </w:p>
        </w:tc>
      </w:tr>
      <w:tr>
        <w:tc>
          <w:tcPr>
            <w:tcW w:type="dxa" w:w="2600"/>
            <w:shd w:fill="F2F5F9" w:color="auto" w:val="clear"/>
            <w:tcMar>
              <w:top w:type="dxa" w:w="60"/>
              <w:left w:type="dxa" w:w="100"/>
              <w:bottom w:type="dxa" w:w="60"/>
              <w:right w:type="dxa" w:w="100"/>
            </w:tcMar>
          </w:tcPr>
          <w:p>
            <w:r>
              <w:rPr>
                <w:b w:val="false"/>
                <w:bCs w:val="false"/>
                <w:color w:val="000000"/>
                <w:sz w:val="18"/>
                <w:szCs w:val="18"/>
              </w:rPr>
              <w:t xml:space="preserve">Serveur d'imagerie PACS</w:t>
            </w:r>
          </w:p>
        </w:tc>
        <w:tc>
          <w:tcPr>
            <w:tcW w:type="dxa" w:w="2200"/>
            <w:shd w:fill="F2F5F9" w:color="auto" w:val="clear"/>
            <w:tcMar>
              <w:top w:type="dxa" w:w="60"/>
              <w:left w:type="dxa" w:w="100"/>
              <w:bottom w:type="dxa" w:w="60"/>
              <w:right w:type="dxa" w:w="100"/>
            </w:tcMar>
          </w:tcPr>
          <w:p>
            <w:r>
              <w:rPr>
                <w:b w:val="false"/>
                <w:bCs w:val="false"/>
                <w:color w:val="000000"/>
                <w:sz w:val="18"/>
                <w:szCs w:val="18"/>
              </w:rPr>
              <w:t xml:space="preserve">serveur DICOM (Orthanc)</w:t>
            </w:r>
          </w:p>
        </w:tc>
        <w:tc>
          <w:tcPr>
            <w:tcW w:type="dxa" w:w="4560"/>
            <w:shd w:fill="F2F5F9" w:color="auto" w:val="clear"/>
            <w:tcMar>
              <w:top w:type="dxa" w:w="60"/>
              <w:left w:type="dxa" w:w="100"/>
              <w:bottom w:type="dxa" w:w="60"/>
              <w:right w:type="dxa" w:w="100"/>
            </w:tcMar>
          </w:tcPr>
          <w:p>
            <w:r>
              <w:rPr>
                <w:b w:val="false"/>
                <w:bCs w:val="false"/>
                <w:color w:val="000000"/>
                <w:sz w:val="18"/>
                <w:szCs w:val="18"/>
              </w:rPr>
              <w:t xml:space="preserve">DICOM sans authentification, export non chiffré</w:t>
            </w:r>
          </w:p>
        </w:tc>
      </w:tr>
      <w:tr>
        <w:tc>
          <w:tcPr>
            <w:tcW w:type="dxa" w:w="2600"/>
            <w:tcMar>
              <w:top w:type="dxa" w:w="60"/>
              <w:left w:type="dxa" w:w="100"/>
              <w:bottom w:type="dxa" w:w="60"/>
              <w:right w:type="dxa" w:w="100"/>
            </w:tcMar>
          </w:tcPr>
          <w:p>
            <w:r>
              <w:rPr>
                <w:b w:val="false"/>
                <w:bCs w:val="false"/>
                <w:color w:val="000000"/>
                <w:sz w:val="18"/>
                <w:szCs w:val="18"/>
              </w:rPr>
              <w:t xml:space="preserve">Interface HL7 (admissions / labo)</w:t>
            </w:r>
          </w:p>
        </w:tc>
        <w:tc>
          <w:tcPr>
            <w:tcW w:type="dxa" w:w="2200"/>
            <w:tcMar>
              <w:top w:type="dxa" w:w="60"/>
              <w:left w:type="dxa" w:w="100"/>
              <w:bottom w:type="dxa" w:w="60"/>
              <w:right w:type="dxa" w:w="100"/>
            </w:tcMar>
          </w:tcPr>
          <w:p>
            <w:r>
              <w:rPr>
                <w:b w:val="false"/>
                <w:bCs w:val="false"/>
                <w:color w:val="000000"/>
                <w:sz w:val="18"/>
                <w:szCs w:val="18"/>
              </w:rPr>
              <w:t xml:space="preserve">listener MLLP</w:t>
            </w:r>
          </w:p>
        </w:tc>
        <w:tc>
          <w:tcPr>
            <w:tcW w:type="dxa" w:w="4560"/>
            <w:tcMar>
              <w:top w:type="dxa" w:w="60"/>
              <w:left w:type="dxa" w:w="100"/>
              <w:bottom w:type="dxa" w:w="60"/>
              <w:right w:type="dxa" w:w="100"/>
            </w:tcMar>
          </w:tcPr>
          <w:p>
            <w:r>
              <w:rPr>
                <w:b w:val="false"/>
                <w:bCs w:val="false"/>
                <w:color w:val="000000"/>
                <w:sz w:val="18"/>
                <w:szCs w:val="18"/>
              </w:rPr>
              <w:t xml:space="preserve">messages HL7 non chiffrés, injection de segments</w:t>
            </w:r>
          </w:p>
        </w:tc>
      </w:tr>
      <w:tr>
        <w:tc>
          <w:tcPr>
            <w:tcW w:type="dxa" w:w="2600"/>
            <w:shd w:fill="F2F5F9" w:color="auto" w:val="clear"/>
            <w:tcMar>
              <w:top w:type="dxa" w:w="60"/>
              <w:left w:type="dxa" w:w="100"/>
              <w:bottom w:type="dxa" w:w="60"/>
              <w:right w:type="dxa" w:w="100"/>
            </w:tcMar>
          </w:tcPr>
          <w:p>
            <w:r>
              <w:rPr>
                <w:b w:val="false"/>
                <w:bCs w:val="false"/>
                <w:color w:val="000000"/>
                <w:sz w:val="18"/>
                <w:szCs w:val="18"/>
              </w:rPr>
              <w:t xml:space="preserve">Moniteur de chevet / pompe simulée</w:t>
            </w:r>
          </w:p>
        </w:tc>
        <w:tc>
          <w:tcPr>
            <w:tcW w:type="dxa" w:w="2200"/>
            <w:shd w:fill="F2F5F9" w:color="auto" w:val="clear"/>
            <w:tcMar>
              <w:top w:type="dxa" w:w="60"/>
              <w:left w:type="dxa" w:w="100"/>
              <w:bottom w:type="dxa" w:w="60"/>
              <w:right w:type="dxa" w:w="100"/>
            </w:tcMar>
          </w:tcPr>
          <w:p>
            <w:r>
              <w:rPr>
                <w:b w:val="false"/>
                <w:bCs w:val="false"/>
                <w:color w:val="000000"/>
                <w:sz w:val="18"/>
                <w:szCs w:val="18"/>
              </w:rPr>
              <w:t xml:space="preserve">service HTTP émulé</w:t>
            </w:r>
          </w:p>
        </w:tc>
        <w:tc>
          <w:tcPr>
            <w:tcW w:type="dxa" w:w="4560"/>
            <w:shd w:fill="F2F5F9" w:color="auto" w:val="clear"/>
            <w:tcMar>
              <w:top w:type="dxa" w:w="60"/>
              <w:left w:type="dxa" w:w="100"/>
              <w:bottom w:type="dxa" w:w="60"/>
              <w:right w:type="dxa" w:w="100"/>
            </w:tcMar>
          </w:tcPr>
          <w:p>
            <w:r>
              <w:rPr>
                <w:b w:val="false"/>
                <w:bCs w:val="false"/>
                <w:color w:val="000000"/>
                <w:sz w:val="18"/>
                <w:szCs w:val="18"/>
              </w:rPr>
              <w:t xml:space="preserve">identifiants par défaut, firmware non signé</w:t>
            </w:r>
          </w:p>
        </w:tc>
      </w:tr>
      <w:tr>
        <w:tc>
          <w:tcPr>
            <w:tcW w:type="dxa" w:w="2600"/>
            <w:tcMar>
              <w:top w:type="dxa" w:w="60"/>
              <w:left w:type="dxa" w:w="100"/>
              <w:bottom w:type="dxa" w:w="60"/>
              <w:right w:type="dxa" w:w="100"/>
            </w:tcMar>
          </w:tcPr>
          <w:p>
            <w:r>
              <w:rPr>
                <w:b w:val="false"/>
                <w:bCs w:val="false"/>
                <w:color w:val="000000"/>
                <w:sz w:val="18"/>
                <w:szCs w:val="18"/>
              </w:rPr>
              <w:t xml:space="preserve">Poste soignant / EHR</w:t>
            </w:r>
          </w:p>
        </w:tc>
        <w:tc>
          <w:tcPr>
            <w:tcW w:type="dxa" w:w="2200"/>
            <w:tcMar>
              <w:top w:type="dxa" w:w="60"/>
              <w:left w:type="dxa" w:w="100"/>
              <w:bottom w:type="dxa" w:w="60"/>
              <w:right w:type="dxa" w:w="100"/>
            </w:tcMar>
          </w:tcPr>
          <w:p>
            <w:r>
              <w:rPr>
                <w:b w:val="false"/>
                <w:bCs w:val="false"/>
                <w:color w:val="000000"/>
                <w:sz w:val="18"/>
                <w:szCs w:val="18"/>
              </w:rPr>
              <w:t xml:space="preserve">VM web</w:t>
            </w:r>
          </w:p>
        </w:tc>
        <w:tc>
          <w:tcPr>
            <w:tcW w:type="dxa" w:w="4560"/>
            <w:tcMar>
              <w:top w:type="dxa" w:w="60"/>
              <w:left w:type="dxa" w:w="100"/>
              <w:bottom w:type="dxa" w:w="60"/>
              <w:right w:type="dxa" w:w="100"/>
            </w:tcMar>
          </w:tcPr>
          <w:p>
            <w:r>
              <w:rPr>
                <w:b w:val="false"/>
                <w:bCs w:val="false"/>
                <w:color w:val="000000"/>
                <w:sz w:val="18"/>
                <w:szCs w:val="18"/>
              </w:rPr>
              <w:t xml:space="preserve">identifiants faibles, session non expirée</w:t>
            </w:r>
          </w:p>
        </w:tc>
      </w:tr>
    </w:tbl>
    <w:p>
      <w:pPr>
        <w:spacing w:after="120" w:before="120"/>
      </w:pPr>
      <w:r>
        <w:rPr>
          <w:b/>
          <w:bCs/>
        </w:rPr>
        <w:t xml:space="preserve">Fil rouge de l'audit (chemin multi-hop) : </w:t>
      </w:r>
      <w:r>
        <w:t xml:space="preserve">poste soignant compromis → pivot vers la passerelle MQTT → accès aux données de télémétrie → atteinte au PACS. L'agent doit découvrir la topologie, hiérarchiser par risque (pondéré par l'impact patient), puis vérifier les preuves de façon non intrusive.</w:t>
      </w:r>
    </w:p>
    <w:p>
      <w:pPr>
        <w:pStyle w:val="Heading1"/>
        <w:spacing w:after="120" w:before="240"/>
      </w:pPr>
      <w:r>
        <w:t xml:space="preserve">Faisabilité technique (infrastructure Proxmox)</w:t>
      </w:r>
    </w:p>
    <w:p>
      <w:pPr>
        <w:spacing w:after="120"/>
      </w:pPr>
      <w:r>
        <w:t xml:space="preserve">Le banc d'essai réutilise l'infrastructure Proxmox existante ; l'essentiel de la tuyauterie de déploiement est déjà en place :</w:t>
      </w:r>
    </w:p>
    <w:p>
      <w:pPr>
        <w:pStyle w:val="ListParagraph"/>
        <w:numPr>
          <w:ilvl w:val="0"/>
          <w:numId w:val="1"/>
        </w:numPr>
        <w:spacing w:after="60"/>
      </w:pPr>
      <w:r>
        <w:t xml:space="preserve">Déploiement automatisé via playbooks Ansible (création des conteneurs, injection des vulnérabilités, population des services, vérification).</w:t>
      </w:r>
    </w:p>
    <w:p>
      <w:pPr>
        <w:pStyle w:val="ListParagraph"/>
        <w:numPr>
          <w:ilvl w:val="0"/>
          <w:numId w:val="1"/>
        </w:numPr>
        <w:spacing w:after="60"/>
      </w:pPr>
      <w:r>
        <w:t xml:space="preserve">Format de scénario déclaratif : topologie YAML (base_vmid, routeur, services {ip, rôle}), paquet de vulnérabilités, et fichier de vérité terrain.</w:t>
      </w:r>
    </w:p>
    <w:p>
      <w:pPr>
        <w:pStyle w:val="ListParagraph"/>
        <w:numPr>
          <w:ilvl w:val="0"/>
          <w:numId w:val="1"/>
        </w:numPr>
        <w:spacing w:after="60"/>
      </w:pPr>
      <w:r>
        <w:t xml:space="preserve">Évaluation automatique par le module de benchmark (Recall / Precision / F1 / score pondéré).</w:t>
      </w:r>
    </w:p>
    <w:p>
      <w:pPr>
        <w:spacing w:after="120"/>
      </w:pPr>
      <w:r>
        <w:rPr>
          <w:b/>
          <w:bCs/>
        </w:rPr>
        <w:t xml:space="preserve">Travail d'extension spécifique au TFE :</w:t>
      </w:r>
    </w:p>
    <w:p>
      <w:pPr>
        <w:pStyle w:val="ListParagraph"/>
        <w:numPr>
          <w:ilvl w:val="0"/>
          <w:numId w:val="1"/>
        </w:numPr>
        <w:spacing w:after="60"/>
      </w:pPr>
      <w:r>
        <w:t xml:space="preserve">Ajout des rôles de service médicaux (pacs_dicom via Orthanc, hl7_mllp, telemetry_gw, ehr_web) sur le modèle des rôles existants.</w:t>
      </w:r>
    </w:p>
    <w:p>
      <w:pPr>
        <w:pStyle w:val="ListParagraph"/>
        <w:numPr>
          <w:ilvl w:val="0"/>
          <w:numId w:val="1"/>
        </w:numPr>
        <w:spacing w:after="60"/>
      </w:pPr>
      <w:r>
        <w:t xml:space="preserve">Nouvelle topologie iomt_hospital.yaml, nouveau paquet de vulnérabilités et nouvelle vérité terrain.</w:t>
      </w:r>
    </w:p>
    <w:p>
      <w:pPr>
        <w:pStyle w:val="ListParagraph"/>
        <w:numPr>
          <w:ilvl w:val="0"/>
          <w:numId w:val="1"/>
        </w:numPr>
        <w:spacing w:after="60"/>
      </w:pPr>
      <w:r>
        <w:t xml:space="preserve">Côté agent : mapping CPE des équipements médicaux et base de connaissances dédiée (sécurité DICOM / HL7).</w:t>
      </w:r>
    </w:p>
    <w:p>
      <w:pPr>
        <w:spacing w:after="120" w:before="60"/>
      </w:pPr>
      <w:r>
        <w:rPr>
          <w:b/>
          <w:bCs/>
        </w:rPr>
        <w:t xml:space="preserve">Limite identifiée : </w:t>
      </w:r>
      <w:r>
        <w:t xml:space="preserve">le Bluetooth Low Energy (BLE) ne dispose pas de couche radio au sein d'un environnement virtualisé. Deux options seront discutées : émulation du protocole applicatif sur TCP, ou report de ce volet vers le laboratoire physique.</w:t>
      </w:r>
    </w:p>
    <w:p>
      <w:pPr>
        <w:pStyle w:val="Heading1"/>
        <w:spacing w:after="120" w:before="240"/>
      </w:pPr>
      <w:r>
        <w:t xml:space="preserve">Livrables attendus</w:t>
      </w:r>
    </w:p>
    <w:p>
      <w:pPr>
        <w:pStyle w:val="ListParagraph"/>
        <w:numPr>
          <w:ilvl w:val="0"/>
          <w:numId w:val="1"/>
        </w:numPr>
        <w:spacing w:after="60"/>
      </w:pPr>
      <w:r>
        <w:t xml:space="preserve">Outil d'audit étendu au domaine IoMT.</w:t>
      </w:r>
    </w:p>
    <w:p>
      <w:pPr>
        <w:pStyle w:val="ListParagraph"/>
        <w:numPr>
          <w:ilvl w:val="0"/>
          <w:numId w:val="1"/>
        </w:numPr>
        <w:spacing w:after="60"/>
      </w:pPr>
      <w:r>
        <w:t xml:space="preserve">Jeu de scénarios virtuels reproductibles avec vérité terrain.</w:t>
      </w:r>
    </w:p>
    <w:p>
      <w:pPr>
        <w:pStyle w:val="ListParagraph"/>
        <w:numPr>
          <w:ilvl w:val="0"/>
          <w:numId w:val="1"/>
        </w:numPr>
        <w:spacing w:after="60"/>
      </w:pPr>
      <w:r>
        <w:t xml:space="preserve">Étude comparative quantifiée par rapport à la version initiale.</w:t>
      </w:r>
    </w:p>
    <w:p>
      <w:pPr>
        <w:pStyle w:val="ListParagraph"/>
        <w:numPr>
          <w:ilvl w:val="0"/>
          <w:numId w:val="1"/>
        </w:numPr>
        <w:spacing w:after="60"/>
      </w:pPr>
      <w:r>
        <w:t xml:space="preserve">Rapport d'analyse et recommandations de déploiement.</w:t>
      </w:r>
    </w:p>
    <w:sectPr>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4E79"/>
      <w:sz w:val="26"/>
      <w:szCs w:val="26"/>
    </w:rPr>
  </w:style>
  <w:style w:type="paragraph" w:styleId="Heading2">
    <w:name w:val="Heading 2"/>
    <w:basedOn w:val="Normal"/>
    <w:next w:val="Normal"/>
    <w:qFormat/>
    <w:rPr>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2026-09-29T12:53:40.588Z</dcterms:created>
  <dcterms:modified xsi:type="dcterms:W3CDTF">2026-09-29T12:53:40.589Z</dcterms:modified>
</cp:coreProperties>
</file>

<file path=docProps/custom.xml><?xml version="1.0" encoding="utf-8"?>
<Properties xmlns="http://schemas.openxmlformats.org/officeDocument/2006/custom-properties" xmlns:vt="http://schemas.openxmlformats.org/officeDocument/2006/docPropsVTypes"/>
</file>