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1A2E"/>
        </w:rPr>
        <w:t>ResNet3D Fusion — Rapport d'analyse multi-seeds</w:t>
      </w:r>
    </w:p>
    <w:p>
      <w:r>
        <w:t>Classification CN vs AD utilisant un ResNet50 3D (poids MedicalNet pré-entraînés) combiné avec des caractéristiques cliniques tabulaires. Évaluation multi-seeds (5 seeds) sur 4 stratégies de fusion.</w:t>
      </w:r>
    </w:p>
    <w:p>
      <w:pPr>
        <w:pStyle w:val="Heading1"/>
      </w:pPr>
      <w:r>
        <w:rPr>
          <w:color w:val="1A1A2E"/>
        </w:rPr>
        <w:t>1. Résumé des performances</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8"/>
              </w:rPr>
              <w:t>Méthode</w:t>
            </w:r>
          </w:p>
        </w:tc>
        <w:tc>
          <w:tcPr>
            <w:tcW w:type="dxa" w:w="1234"/>
          </w:tcPr>
          <w:p>
            <w:pPr>
              <w:jc w:val="center"/>
            </w:pPr>
            <w:r>
              <w:rPr>
                <w:b/>
                <w:sz w:val="18"/>
              </w:rPr>
              <w:t>Acc %</w:t>
            </w:r>
          </w:p>
        </w:tc>
        <w:tc>
          <w:tcPr>
            <w:tcW w:type="dxa" w:w="1234"/>
          </w:tcPr>
          <w:p>
            <w:pPr>
              <w:jc w:val="center"/>
            </w:pPr>
            <w:r>
              <w:rPr>
                <w:b/>
                <w:sz w:val="18"/>
              </w:rPr>
              <w:t>Acc Éq %</w:t>
            </w:r>
          </w:p>
        </w:tc>
        <w:tc>
          <w:tcPr>
            <w:tcW w:type="dxa" w:w="1234"/>
          </w:tcPr>
          <w:p>
            <w:pPr>
              <w:jc w:val="center"/>
            </w:pPr>
            <w:r>
              <w:rPr>
                <w:b/>
                <w:sz w:val="18"/>
              </w:rPr>
              <w:t>Sens %</w:t>
            </w:r>
          </w:p>
        </w:tc>
        <w:tc>
          <w:tcPr>
            <w:tcW w:type="dxa" w:w="1234"/>
          </w:tcPr>
          <w:p>
            <w:pPr>
              <w:jc w:val="center"/>
            </w:pPr>
            <w:r>
              <w:rPr>
                <w:b/>
                <w:sz w:val="18"/>
              </w:rPr>
              <w:t>Spéc %</w:t>
            </w:r>
          </w:p>
        </w:tc>
        <w:tc>
          <w:tcPr>
            <w:tcW w:type="dxa" w:w="1234"/>
          </w:tcPr>
          <w:p>
            <w:pPr>
              <w:jc w:val="center"/>
            </w:pPr>
            <w:r>
              <w:rPr>
                <w:b/>
                <w:sz w:val="18"/>
              </w:rPr>
              <w:t>AUC</w:t>
            </w:r>
          </w:p>
        </w:tc>
        <w:tc>
          <w:tcPr>
            <w:tcW w:type="dxa" w:w="1234"/>
          </w:tcPr>
          <w:p>
            <w:pPr>
              <w:jc w:val="center"/>
            </w:pPr>
            <w:r>
              <w:rPr>
                <w:b/>
                <w:sz w:val="18"/>
              </w:rPr>
              <w:t>Seeds</w:t>
            </w:r>
          </w:p>
        </w:tc>
      </w:tr>
      <w:tr>
        <w:tc>
          <w:tcPr>
            <w:tcW w:type="dxa" w:w="1234"/>
          </w:tcPr>
          <w:p>
            <w:pPr>
              <w:jc w:val="center"/>
            </w:pPr>
            <w:r>
              <w:rPr>
                <w:sz w:val="18"/>
              </w:rPr>
              <w:t>MLP Late Wt</w:t>
            </w:r>
          </w:p>
        </w:tc>
        <w:tc>
          <w:tcPr>
            <w:tcW w:type="dxa" w:w="1234"/>
          </w:tcPr>
          <w:p>
            <w:pPr>
              <w:jc w:val="center"/>
            </w:pPr>
            <w:r>
              <w:rPr>
                <w:sz w:val="18"/>
              </w:rPr>
              <w:t>91.2 +/- 1.5</w:t>
            </w:r>
          </w:p>
        </w:tc>
        <w:tc>
          <w:tcPr>
            <w:tcW w:type="dxa" w:w="1234"/>
          </w:tcPr>
          <w:p>
            <w:pPr>
              <w:jc w:val="center"/>
            </w:pPr>
            <w:r>
              <w:rPr>
                <w:sz w:val="18"/>
              </w:rPr>
              <w:t>89.2 +/- 0.5</w:t>
            </w:r>
          </w:p>
        </w:tc>
        <w:tc>
          <w:tcPr>
            <w:tcW w:type="dxa" w:w="1234"/>
          </w:tcPr>
          <w:p>
            <w:pPr>
              <w:jc w:val="center"/>
            </w:pPr>
            <w:r>
              <w:rPr>
                <w:sz w:val="18"/>
              </w:rPr>
              <w:t>85.8 +/- 1.4</w:t>
            </w:r>
          </w:p>
        </w:tc>
        <w:tc>
          <w:tcPr>
            <w:tcW w:type="dxa" w:w="1234"/>
          </w:tcPr>
          <w:p>
            <w:pPr>
              <w:jc w:val="center"/>
            </w:pPr>
            <w:r>
              <w:rPr>
                <w:sz w:val="18"/>
              </w:rPr>
              <w:t>92.7 +/- 2.2</w:t>
            </w:r>
          </w:p>
        </w:tc>
        <w:tc>
          <w:tcPr>
            <w:tcW w:type="dxa" w:w="1234"/>
          </w:tcPr>
          <w:p>
            <w:pPr>
              <w:jc w:val="center"/>
            </w:pPr>
            <w:r>
              <w:rPr>
                <w:sz w:val="18"/>
              </w:rPr>
              <w:t>0.950 +/- 0.003</w:t>
            </w:r>
          </w:p>
        </w:tc>
        <w:tc>
          <w:tcPr>
            <w:tcW w:type="dxa" w:w="1234"/>
          </w:tcPr>
          <w:p>
            <w:pPr>
              <w:jc w:val="center"/>
            </w:pPr>
            <w:r>
              <w:rPr>
                <w:sz w:val="18"/>
              </w:rPr>
              <w:t>5</w:t>
            </w:r>
          </w:p>
        </w:tc>
      </w:tr>
      <w:tr>
        <w:tc>
          <w:tcPr>
            <w:tcW w:type="dxa" w:w="1234"/>
          </w:tcPr>
          <w:p>
            <w:pPr>
              <w:jc w:val="center"/>
            </w:pPr>
            <w:r>
              <w:rPr>
                <w:sz w:val="18"/>
              </w:rPr>
              <w:t>XGB Late Wt</w:t>
            </w:r>
          </w:p>
        </w:tc>
        <w:tc>
          <w:tcPr>
            <w:tcW w:type="dxa" w:w="1234"/>
          </w:tcPr>
          <w:p>
            <w:pPr>
              <w:jc w:val="center"/>
            </w:pPr>
            <w:r>
              <w:rPr>
                <w:sz w:val="18"/>
              </w:rPr>
              <w:t>92.0 +/- 0.8</w:t>
            </w:r>
          </w:p>
        </w:tc>
        <w:tc>
          <w:tcPr>
            <w:tcW w:type="dxa" w:w="1234"/>
          </w:tcPr>
          <w:p>
            <w:pPr>
              <w:jc w:val="center"/>
            </w:pPr>
            <w:r>
              <w:rPr>
                <w:sz w:val="18"/>
              </w:rPr>
              <w:t>88.6 +/- 0.7</w:t>
            </w:r>
          </w:p>
        </w:tc>
        <w:tc>
          <w:tcPr>
            <w:tcW w:type="dxa" w:w="1234"/>
          </w:tcPr>
          <w:p>
            <w:pPr>
              <w:jc w:val="center"/>
            </w:pPr>
            <w:r>
              <w:rPr>
                <w:sz w:val="18"/>
              </w:rPr>
              <w:t>82.6 +/- 1.4</w:t>
            </w:r>
          </w:p>
        </w:tc>
        <w:tc>
          <w:tcPr>
            <w:tcW w:type="dxa" w:w="1234"/>
          </w:tcPr>
          <w:p>
            <w:pPr>
              <w:jc w:val="center"/>
            </w:pPr>
            <w:r>
              <w:rPr>
                <w:sz w:val="18"/>
              </w:rPr>
              <w:t>94.6 +/- 1.1</w:t>
            </w:r>
          </w:p>
        </w:tc>
        <w:tc>
          <w:tcPr>
            <w:tcW w:type="dxa" w:w="1234"/>
          </w:tcPr>
          <w:p>
            <w:pPr>
              <w:jc w:val="center"/>
            </w:pPr>
            <w:r>
              <w:rPr>
                <w:sz w:val="18"/>
              </w:rPr>
              <w:t>0.949 +/- 0.002</w:t>
            </w:r>
          </w:p>
        </w:tc>
        <w:tc>
          <w:tcPr>
            <w:tcW w:type="dxa" w:w="1234"/>
          </w:tcPr>
          <w:p>
            <w:pPr>
              <w:jc w:val="center"/>
            </w:pPr>
            <w:r>
              <w:rPr>
                <w:sz w:val="18"/>
              </w:rPr>
              <w:t>5</w:t>
            </w:r>
          </w:p>
        </w:tc>
      </w:tr>
      <w:tr>
        <w:tc>
          <w:tcPr>
            <w:tcW w:type="dxa" w:w="1234"/>
          </w:tcPr>
          <w:p>
            <w:pPr>
              <w:jc w:val="center"/>
            </w:pPr>
            <w:r>
              <w:rPr>
                <w:sz w:val="18"/>
              </w:rPr>
              <w:t>XGB Late Stack</w:t>
            </w:r>
          </w:p>
        </w:tc>
        <w:tc>
          <w:tcPr>
            <w:tcW w:type="dxa" w:w="1234"/>
          </w:tcPr>
          <w:p>
            <w:pPr>
              <w:jc w:val="center"/>
            </w:pPr>
            <w:r>
              <w:rPr>
                <w:sz w:val="18"/>
              </w:rPr>
              <w:t>91.0 +/- 0.3</w:t>
            </w:r>
          </w:p>
        </w:tc>
        <w:tc>
          <w:tcPr>
            <w:tcW w:type="dxa" w:w="1234"/>
          </w:tcPr>
          <w:p>
            <w:pPr>
              <w:jc w:val="center"/>
            </w:pPr>
            <w:r>
              <w:rPr>
                <w:sz w:val="18"/>
              </w:rPr>
              <w:t>82.5 +/- 1.4</w:t>
            </w:r>
          </w:p>
        </w:tc>
        <w:tc>
          <w:tcPr>
            <w:tcW w:type="dxa" w:w="1234"/>
          </w:tcPr>
          <w:p>
            <w:pPr>
              <w:jc w:val="center"/>
            </w:pPr>
            <w:r>
              <w:rPr>
                <w:sz w:val="18"/>
              </w:rPr>
              <w:t>67.5 +/- 3.3</w:t>
            </w:r>
          </w:p>
        </w:tc>
        <w:tc>
          <w:tcPr>
            <w:tcW w:type="dxa" w:w="1234"/>
          </w:tcPr>
          <w:p>
            <w:pPr>
              <w:jc w:val="center"/>
            </w:pPr>
            <w:r>
              <w:rPr>
                <w:sz w:val="18"/>
              </w:rPr>
              <w:t>97.6 +/- 0.5</w:t>
            </w:r>
          </w:p>
        </w:tc>
        <w:tc>
          <w:tcPr>
            <w:tcW w:type="dxa" w:w="1234"/>
          </w:tcPr>
          <w:p>
            <w:pPr>
              <w:jc w:val="center"/>
            </w:pPr>
            <w:r>
              <w:rPr>
                <w:sz w:val="18"/>
              </w:rPr>
              <w:t>0.949 +/- 0.002</w:t>
            </w:r>
          </w:p>
        </w:tc>
        <w:tc>
          <w:tcPr>
            <w:tcW w:type="dxa" w:w="1234"/>
          </w:tcPr>
          <w:p>
            <w:pPr>
              <w:jc w:val="center"/>
            </w:pPr>
            <w:r>
              <w:rPr>
                <w:sz w:val="18"/>
              </w:rPr>
              <w:t>5</w:t>
            </w:r>
          </w:p>
        </w:tc>
      </w:tr>
      <w:tr>
        <w:tc>
          <w:tcPr>
            <w:tcW w:type="dxa" w:w="1234"/>
          </w:tcPr>
          <w:p>
            <w:pPr>
              <w:jc w:val="center"/>
            </w:pPr>
            <w:r>
              <w:rPr>
                <w:sz w:val="18"/>
              </w:rPr>
              <w:t>MLP Late Avg</w:t>
            </w:r>
          </w:p>
        </w:tc>
        <w:tc>
          <w:tcPr>
            <w:tcW w:type="dxa" w:w="1234"/>
          </w:tcPr>
          <w:p>
            <w:pPr>
              <w:jc w:val="center"/>
            </w:pPr>
            <w:r>
              <w:rPr>
                <w:sz w:val="18"/>
              </w:rPr>
              <w:t>89.8 +/- 1.3</w:t>
            </w:r>
          </w:p>
        </w:tc>
        <w:tc>
          <w:tcPr>
            <w:tcW w:type="dxa" w:w="1234"/>
          </w:tcPr>
          <w:p>
            <w:pPr>
              <w:jc w:val="center"/>
            </w:pPr>
            <w:r>
              <w:rPr>
                <w:sz w:val="18"/>
              </w:rPr>
              <w:t>86.0 +/- 1.4</w:t>
            </w:r>
          </w:p>
        </w:tc>
        <w:tc>
          <w:tcPr>
            <w:tcW w:type="dxa" w:w="1234"/>
          </w:tcPr>
          <w:p>
            <w:pPr>
              <w:jc w:val="center"/>
            </w:pPr>
            <w:r>
              <w:rPr>
                <w:sz w:val="18"/>
              </w:rPr>
              <w:t>79.3 +/- 4.4</w:t>
            </w:r>
          </w:p>
        </w:tc>
        <w:tc>
          <w:tcPr>
            <w:tcW w:type="dxa" w:w="1234"/>
          </w:tcPr>
          <w:p>
            <w:pPr>
              <w:jc w:val="center"/>
            </w:pPr>
            <w:r>
              <w:rPr>
                <w:sz w:val="18"/>
              </w:rPr>
              <w:t>92.8 +/- 2.6</w:t>
            </w:r>
          </w:p>
        </w:tc>
        <w:tc>
          <w:tcPr>
            <w:tcW w:type="dxa" w:w="1234"/>
          </w:tcPr>
          <w:p>
            <w:pPr>
              <w:jc w:val="center"/>
            </w:pPr>
            <w:r>
              <w:rPr>
                <w:sz w:val="18"/>
              </w:rPr>
              <w:t>0.947 +/- 0.004</w:t>
            </w:r>
          </w:p>
        </w:tc>
        <w:tc>
          <w:tcPr>
            <w:tcW w:type="dxa" w:w="1234"/>
          </w:tcPr>
          <w:p>
            <w:pPr>
              <w:jc w:val="center"/>
            </w:pPr>
            <w:r>
              <w:rPr>
                <w:sz w:val="18"/>
              </w:rPr>
              <w:t>5</w:t>
            </w:r>
          </w:p>
        </w:tc>
      </w:tr>
      <w:tr>
        <w:tc>
          <w:tcPr>
            <w:tcW w:type="dxa" w:w="1234"/>
          </w:tcPr>
          <w:p>
            <w:pPr>
              <w:jc w:val="center"/>
            </w:pPr>
            <w:r>
              <w:rPr>
                <w:sz w:val="18"/>
              </w:rPr>
              <w:t>XGB Late Avg</w:t>
            </w:r>
          </w:p>
        </w:tc>
        <w:tc>
          <w:tcPr>
            <w:tcW w:type="dxa" w:w="1234"/>
          </w:tcPr>
          <w:p>
            <w:pPr>
              <w:jc w:val="center"/>
            </w:pPr>
            <w:r>
              <w:rPr>
                <w:sz w:val="18"/>
              </w:rPr>
              <w:t>89.7 +/- 1.1</w:t>
            </w:r>
          </w:p>
        </w:tc>
        <w:tc>
          <w:tcPr>
            <w:tcW w:type="dxa" w:w="1234"/>
          </w:tcPr>
          <w:p>
            <w:pPr>
              <w:jc w:val="center"/>
            </w:pPr>
            <w:r>
              <w:rPr>
                <w:sz w:val="18"/>
              </w:rPr>
              <w:t>86.1 +/- 1.1</w:t>
            </w:r>
          </w:p>
        </w:tc>
        <w:tc>
          <w:tcPr>
            <w:tcW w:type="dxa" w:w="1234"/>
          </w:tcPr>
          <w:p>
            <w:pPr>
              <w:jc w:val="center"/>
            </w:pPr>
            <w:r>
              <w:rPr>
                <w:sz w:val="18"/>
              </w:rPr>
              <w:t>79.7 +/- 2.6</w:t>
            </w:r>
          </w:p>
        </w:tc>
        <w:tc>
          <w:tcPr>
            <w:tcW w:type="dxa" w:w="1234"/>
          </w:tcPr>
          <w:p>
            <w:pPr>
              <w:jc w:val="center"/>
            </w:pPr>
            <w:r>
              <w:rPr>
                <w:sz w:val="18"/>
              </w:rPr>
              <w:t>92.5 +/- 1.7</w:t>
            </w:r>
          </w:p>
        </w:tc>
        <w:tc>
          <w:tcPr>
            <w:tcW w:type="dxa" w:w="1234"/>
          </w:tcPr>
          <w:p>
            <w:pPr>
              <w:jc w:val="center"/>
            </w:pPr>
            <w:r>
              <w:rPr>
                <w:sz w:val="18"/>
              </w:rPr>
              <w:t>0.946 +/- 0.003</w:t>
            </w:r>
          </w:p>
        </w:tc>
        <w:tc>
          <w:tcPr>
            <w:tcW w:type="dxa" w:w="1234"/>
          </w:tcPr>
          <w:p>
            <w:pPr>
              <w:jc w:val="center"/>
            </w:pPr>
            <w:r>
              <w:rPr>
                <w:sz w:val="18"/>
              </w:rPr>
              <w:t>5</w:t>
            </w:r>
          </w:p>
        </w:tc>
      </w:tr>
      <w:tr>
        <w:tc>
          <w:tcPr>
            <w:tcW w:type="dxa" w:w="1234"/>
          </w:tcPr>
          <w:p>
            <w:pPr>
              <w:jc w:val="center"/>
            </w:pPr>
            <w:r>
              <w:rPr>
                <w:sz w:val="18"/>
              </w:rPr>
              <w:t>MLP Early</w:t>
            </w:r>
          </w:p>
        </w:tc>
        <w:tc>
          <w:tcPr>
            <w:tcW w:type="dxa" w:w="1234"/>
          </w:tcPr>
          <w:p>
            <w:pPr>
              <w:jc w:val="center"/>
            </w:pPr>
            <w:r>
              <w:rPr>
                <w:sz w:val="18"/>
              </w:rPr>
              <w:t>91.9 +/- 0.8</w:t>
            </w:r>
          </w:p>
        </w:tc>
        <w:tc>
          <w:tcPr>
            <w:tcW w:type="dxa" w:w="1234"/>
          </w:tcPr>
          <w:p>
            <w:pPr>
              <w:jc w:val="center"/>
            </w:pPr>
            <w:r>
              <w:rPr>
                <w:sz w:val="18"/>
              </w:rPr>
              <w:t>89.1 +/- 0.7</w:t>
            </w:r>
          </w:p>
        </w:tc>
        <w:tc>
          <w:tcPr>
            <w:tcW w:type="dxa" w:w="1234"/>
          </w:tcPr>
          <w:p>
            <w:pPr>
              <w:jc w:val="center"/>
            </w:pPr>
            <w:r>
              <w:rPr>
                <w:sz w:val="18"/>
              </w:rPr>
              <w:t>84.0 +/- 1.9</w:t>
            </w:r>
          </w:p>
        </w:tc>
        <w:tc>
          <w:tcPr>
            <w:tcW w:type="dxa" w:w="1234"/>
          </w:tcPr>
          <w:p>
            <w:pPr>
              <w:jc w:val="center"/>
            </w:pPr>
            <w:r>
              <w:rPr>
                <w:sz w:val="18"/>
              </w:rPr>
              <w:t>94.1 +/- 1.3</w:t>
            </w:r>
          </w:p>
        </w:tc>
        <w:tc>
          <w:tcPr>
            <w:tcW w:type="dxa" w:w="1234"/>
          </w:tcPr>
          <w:p>
            <w:pPr>
              <w:jc w:val="center"/>
            </w:pPr>
            <w:r>
              <w:rPr>
                <w:sz w:val="18"/>
              </w:rPr>
              <w:t>0.946 +/- 0.006</w:t>
            </w:r>
          </w:p>
        </w:tc>
        <w:tc>
          <w:tcPr>
            <w:tcW w:type="dxa" w:w="1234"/>
          </w:tcPr>
          <w:p>
            <w:pPr>
              <w:jc w:val="center"/>
            </w:pPr>
            <w:r>
              <w:rPr>
                <w:sz w:val="18"/>
              </w:rPr>
              <w:t>5</w:t>
            </w:r>
          </w:p>
        </w:tc>
      </w:tr>
      <w:tr>
        <w:tc>
          <w:tcPr>
            <w:tcW w:type="dxa" w:w="1234"/>
          </w:tcPr>
          <w:p>
            <w:pPr>
              <w:jc w:val="center"/>
            </w:pPr>
            <w:r>
              <w:rPr>
                <w:sz w:val="18"/>
              </w:rPr>
              <w:t>Tab only (XGB)</w:t>
            </w:r>
          </w:p>
        </w:tc>
        <w:tc>
          <w:tcPr>
            <w:tcW w:type="dxa" w:w="1234"/>
          </w:tcPr>
          <w:p>
            <w:pPr>
              <w:jc w:val="center"/>
            </w:pPr>
            <w:r>
              <w:rPr>
                <w:sz w:val="18"/>
              </w:rPr>
              <w:t>88.8 +/- 0.2</w:t>
            </w:r>
          </w:p>
        </w:tc>
        <w:tc>
          <w:tcPr>
            <w:tcW w:type="dxa" w:w="1234"/>
          </w:tcPr>
          <w:p>
            <w:pPr>
              <w:jc w:val="center"/>
            </w:pPr>
            <w:r>
              <w:rPr>
                <w:sz w:val="18"/>
              </w:rPr>
              <w:t>86.0 +/- 0.3</w:t>
            </w:r>
          </w:p>
        </w:tc>
        <w:tc>
          <w:tcPr>
            <w:tcW w:type="dxa" w:w="1234"/>
          </w:tcPr>
          <w:p>
            <w:pPr>
              <w:jc w:val="center"/>
            </w:pPr>
            <w:r>
              <w:rPr>
                <w:sz w:val="18"/>
              </w:rPr>
              <w:t>80.9 +/- 1.1</w:t>
            </w:r>
          </w:p>
        </w:tc>
        <w:tc>
          <w:tcPr>
            <w:tcW w:type="dxa" w:w="1234"/>
          </w:tcPr>
          <w:p>
            <w:pPr>
              <w:jc w:val="center"/>
            </w:pPr>
            <w:r>
              <w:rPr>
                <w:sz w:val="18"/>
              </w:rPr>
              <w:t>91.0 +/- 0.5</w:t>
            </w:r>
          </w:p>
        </w:tc>
        <w:tc>
          <w:tcPr>
            <w:tcW w:type="dxa" w:w="1234"/>
          </w:tcPr>
          <w:p>
            <w:pPr>
              <w:jc w:val="center"/>
            </w:pPr>
            <w:r>
              <w:rPr>
                <w:sz w:val="18"/>
              </w:rPr>
              <w:t>0.937 +/- 0.002</w:t>
            </w:r>
          </w:p>
        </w:tc>
        <w:tc>
          <w:tcPr>
            <w:tcW w:type="dxa" w:w="1234"/>
          </w:tcPr>
          <w:p>
            <w:pPr>
              <w:jc w:val="center"/>
            </w:pPr>
            <w:r>
              <w:rPr>
                <w:sz w:val="18"/>
              </w:rPr>
              <w:t>5</w:t>
            </w:r>
          </w:p>
        </w:tc>
      </w:tr>
      <w:tr>
        <w:tc>
          <w:tcPr>
            <w:tcW w:type="dxa" w:w="1234"/>
          </w:tcPr>
          <w:p>
            <w:pPr>
              <w:jc w:val="center"/>
            </w:pPr>
            <w:r>
              <w:rPr>
                <w:sz w:val="18"/>
              </w:rPr>
              <w:t>Tab only (MLP)</w:t>
            </w:r>
          </w:p>
        </w:tc>
        <w:tc>
          <w:tcPr>
            <w:tcW w:type="dxa" w:w="1234"/>
          </w:tcPr>
          <w:p>
            <w:pPr>
              <w:jc w:val="center"/>
            </w:pPr>
            <w:r>
              <w:rPr>
                <w:sz w:val="18"/>
              </w:rPr>
              <w:t>85.0 +/- 1.3</w:t>
            </w:r>
          </w:p>
        </w:tc>
        <w:tc>
          <w:tcPr>
            <w:tcW w:type="dxa" w:w="1234"/>
          </w:tcPr>
          <w:p>
            <w:pPr>
              <w:jc w:val="center"/>
            </w:pPr>
            <w:r>
              <w:rPr>
                <w:sz w:val="18"/>
              </w:rPr>
              <w:t>85.8 +/- 0.6</w:t>
            </w:r>
          </w:p>
        </w:tc>
        <w:tc>
          <w:tcPr>
            <w:tcW w:type="dxa" w:w="1234"/>
          </w:tcPr>
          <w:p>
            <w:pPr>
              <w:jc w:val="center"/>
            </w:pPr>
            <w:r>
              <w:rPr>
                <w:sz w:val="18"/>
              </w:rPr>
              <w:t>87.3 +/- 1.3</w:t>
            </w:r>
          </w:p>
        </w:tc>
        <w:tc>
          <w:tcPr>
            <w:tcW w:type="dxa" w:w="1234"/>
          </w:tcPr>
          <w:p>
            <w:pPr>
              <w:jc w:val="center"/>
            </w:pPr>
            <w:r>
              <w:rPr>
                <w:sz w:val="18"/>
              </w:rPr>
              <w:t>84.4 +/- 1.9</w:t>
            </w:r>
          </w:p>
        </w:tc>
        <w:tc>
          <w:tcPr>
            <w:tcW w:type="dxa" w:w="1234"/>
          </w:tcPr>
          <w:p>
            <w:pPr>
              <w:jc w:val="center"/>
            </w:pPr>
            <w:r>
              <w:rPr>
                <w:sz w:val="18"/>
              </w:rPr>
              <w:t>0.933 +/- 0.002</w:t>
            </w:r>
          </w:p>
        </w:tc>
        <w:tc>
          <w:tcPr>
            <w:tcW w:type="dxa" w:w="1234"/>
          </w:tcPr>
          <w:p>
            <w:pPr>
              <w:jc w:val="center"/>
            </w:pPr>
            <w:r>
              <w:rPr>
                <w:sz w:val="18"/>
              </w:rPr>
              <w:t>5</w:t>
            </w:r>
          </w:p>
        </w:tc>
      </w:tr>
      <w:tr>
        <w:tc>
          <w:tcPr>
            <w:tcW w:type="dxa" w:w="1234"/>
          </w:tcPr>
          <w:p>
            <w:pPr>
              <w:jc w:val="center"/>
            </w:pPr>
            <w:r>
              <w:rPr>
                <w:sz w:val="18"/>
              </w:rPr>
              <w:t>XGB Early</w:t>
            </w:r>
          </w:p>
        </w:tc>
        <w:tc>
          <w:tcPr>
            <w:tcW w:type="dxa" w:w="1234"/>
          </w:tcPr>
          <w:p>
            <w:pPr>
              <w:jc w:val="center"/>
            </w:pPr>
            <w:r>
              <w:rPr>
                <w:sz w:val="18"/>
              </w:rPr>
              <w:t>89.6 +/- 1.3</w:t>
            </w:r>
          </w:p>
        </w:tc>
        <w:tc>
          <w:tcPr>
            <w:tcW w:type="dxa" w:w="1234"/>
          </w:tcPr>
          <w:p>
            <w:pPr>
              <w:jc w:val="center"/>
            </w:pPr>
            <w:r>
              <w:rPr>
                <w:sz w:val="18"/>
              </w:rPr>
              <w:t>85.3 +/- 2.3</w:t>
            </w:r>
          </w:p>
        </w:tc>
        <w:tc>
          <w:tcPr>
            <w:tcW w:type="dxa" w:w="1234"/>
          </w:tcPr>
          <w:p>
            <w:pPr>
              <w:jc w:val="center"/>
            </w:pPr>
            <w:r>
              <w:rPr>
                <w:sz w:val="18"/>
              </w:rPr>
              <w:t>77.7 +/- 4.1</w:t>
            </w:r>
          </w:p>
        </w:tc>
        <w:tc>
          <w:tcPr>
            <w:tcW w:type="dxa" w:w="1234"/>
          </w:tcPr>
          <w:p>
            <w:pPr>
              <w:jc w:val="center"/>
            </w:pPr>
            <w:r>
              <w:rPr>
                <w:sz w:val="18"/>
              </w:rPr>
              <w:t>92.9 +/- 0.6</w:t>
            </w:r>
          </w:p>
        </w:tc>
        <w:tc>
          <w:tcPr>
            <w:tcW w:type="dxa" w:w="1234"/>
          </w:tcPr>
          <w:p>
            <w:pPr>
              <w:jc w:val="center"/>
            </w:pPr>
            <w:r>
              <w:rPr>
                <w:sz w:val="18"/>
              </w:rPr>
              <w:t>0.931 +/- 0.018</w:t>
            </w:r>
          </w:p>
        </w:tc>
        <w:tc>
          <w:tcPr>
            <w:tcW w:type="dxa" w:w="1234"/>
          </w:tcPr>
          <w:p>
            <w:pPr>
              <w:jc w:val="center"/>
            </w:pPr>
            <w:r>
              <w:rPr>
                <w:sz w:val="18"/>
              </w:rPr>
              <w:t>5</w:t>
            </w:r>
          </w:p>
        </w:tc>
      </w:tr>
      <w:tr>
        <w:tc>
          <w:tcPr>
            <w:tcW w:type="dxa" w:w="1234"/>
          </w:tcPr>
          <w:p>
            <w:pPr>
              <w:jc w:val="center"/>
            </w:pPr>
            <w:r>
              <w:rPr>
                <w:sz w:val="18"/>
              </w:rPr>
              <w:t>MLP Late Stack</w:t>
            </w:r>
          </w:p>
        </w:tc>
        <w:tc>
          <w:tcPr>
            <w:tcW w:type="dxa" w:w="1234"/>
          </w:tcPr>
          <w:p>
            <w:pPr>
              <w:jc w:val="center"/>
            </w:pPr>
            <w:r>
              <w:rPr>
                <w:sz w:val="18"/>
              </w:rPr>
              <w:t>88.4 +/- 1.1</w:t>
            </w:r>
          </w:p>
        </w:tc>
        <w:tc>
          <w:tcPr>
            <w:tcW w:type="dxa" w:w="1234"/>
          </w:tcPr>
          <w:p>
            <w:pPr>
              <w:jc w:val="center"/>
            </w:pPr>
            <w:r>
              <w:rPr>
                <w:sz w:val="18"/>
              </w:rPr>
              <w:t>81.6 +/- 1.1</w:t>
            </w:r>
          </w:p>
        </w:tc>
        <w:tc>
          <w:tcPr>
            <w:tcW w:type="dxa" w:w="1234"/>
          </w:tcPr>
          <w:p>
            <w:pPr>
              <w:jc w:val="center"/>
            </w:pPr>
            <w:r>
              <w:rPr>
                <w:sz w:val="18"/>
              </w:rPr>
              <w:t>69.6 +/- 4.0</w:t>
            </w:r>
          </w:p>
        </w:tc>
        <w:tc>
          <w:tcPr>
            <w:tcW w:type="dxa" w:w="1234"/>
          </w:tcPr>
          <w:p>
            <w:pPr>
              <w:jc w:val="center"/>
            </w:pPr>
            <w:r>
              <w:rPr>
                <w:sz w:val="18"/>
              </w:rPr>
              <w:t>93.6 +/- 2.3</w:t>
            </w:r>
          </w:p>
        </w:tc>
        <w:tc>
          <w:tcPr>
            <w:tcW w:type="dxa" w:w="1234"/>
          </w:tcPr>
          <w:p>
            <w:pPr>
              <w:jc w:val="center"/>
            </w:pPr>
            <w:r>
              <w:rPr>
                <w:sz w:val="18"/>
              </w:rPr>
              <w:t>0.910 +/- 0.030</w:t>
            </w:r>
          </w:p>
        </w:tc>
        <w:tc>
          <w:tcPr>
            <w:tcW w:type="dxa" w:w="1234"/>
          </w:tcPr>
          <w:p>
            <w:pPr>
              <w:jc w:val="center"/>
            </w:pPr>
            <w:r>
              <w:rPr>
                <w:sz w:val="18"/>
              </w:rPr>
              <w:t>5</w:t>
            </w:r>
          </w:p>
        </w:tc>
      </w:tr>
      <w:tr>
        <w:tc>
          <w:tcPr>
            <w:tcW w:type="dxa" w:w="1234"/>
          </w:tcPr>
          <w:p>
            <w:pPr>
              <w:jc w:val="center"/>
            </w:pPr>
            <w:r>
              <w:rPr>
                <w:sz w:val="18"/>
              </w:rPr>
              <w:t>MRI only</w:t>
            </w:r>
          </w:p>
        </w:tc>
        <w:tc>
          <w:tcPr>
            <w:tcW w:type="dxa" w:w="1234"/>
          </w:tcPr>
          <w:p>
            <w:pPr>
              <w:jc w:val="center"/>
            </w:pPr>
            <w:r>
              <w:rPr>
                <w:sz w:val="18"/>
              </w:rPr>
              <w:t>86.7 +/- 0.7</w:t>
            </w:r>
          </w:p>
        </w:tc>
        <w:tc>
          <w:tcPr>
            <w:tcW w:type="dxa" w:w="1234"/>
          </w:tcPr>
          <w:p>
            <w:pPr>
              <w:jc w:val="center"/>
            </w:pPr>
            <w:r>
              <w:rPr>
                <w:sz w:val="18"/>
              </w:rPr>
              <w:t>82.7 +/- 0.6</w:t>
            </w:r>
          </w:p>
        </w:tc>
        <w:tc>
          <w:tcPr>
            <w:tcW w:type="dxa" w:w="1234"/>
          </w:tcPr>
          <w:p>
            <w:pPr>
              <w:jc w:val="center"/>
            </w:pPr>
            <w:r>
              <w:rPr>
                <w:sz w:val="18"/>
              </w:rPr>
              <w:t>75.6 +/- 2.8</w:t>
            </w:r>
          </w:p>
        </w:tc>
        <w:tc>
          <w:tcPr>
            <w:tcW w:type="dxa" w:w="1234"/>
          </w:tcPr>
          <w:p>
            <w:pPr>
              <w:jc w:val="center"/>
            </w:pPr>
            <w:r>
              <w:rPr>
                <w:sz w:val="18"/>
              </w:rPr>
              <w:t>89.8 +/- 1.7</w:t>
            </w:r>
          </w:p>
        </w:tc>
        <w:tc>
          <w:tcPr>
            <w:tcW w:type="dxa" w:w="1234"/>
          </w:tcPr>
          <w:p>
            <w:pPr>
              <w:jc w:val="center"/>
            </w:pPr>
            <w:r>
              <w:rPr>
                <w:sz w:val="18"/>
              </w:rPr>
              <w:t>0.901 +/- 0.010</w:t>
            </w:r>
          </w:p>
        </w:tc>
        <w:tc>
          <w:tcPr>
            <w:tcW w:type="dxa" w:w="1234"/>
          </w:tcPr>
          <w:p>
            <w:pPr>
              <w:jc w:val="center"/>
            </w:pPr>
            <w:r>
              <w:rPr>
                <w:sz w:val="18"/>
              </w:rPr>
              <w:t>5</w:t>
            </w:r>
          </w:p>
        </w:tc>
      </w:tr>
    </w:tbl>
    <w:p/>
    <w:p>
      <w:pPr>
        <w:pStyle w:val="Heading1"/>
      </w:pPr>
      <w:r>
        <w:rPr>
          <w:color w:val="1A1A2E"/>
        </w:rPr>
        <w:t>2. Test de DeLong — Comparaison des AUC par paires</w:t>
      </w:r>
    </w:p>
    <w:p>
      <w:r>
        <w:t>Le test de DeLong évalue si les différences d'AUC entre les modèles sont statistiquement significatives. La heatmap ci-dessous montre les p-values par paires. Les cellules vertes indiquent des différences significatives (p &lt; 0.05).</w:t>
      </w:r>
    </w:p>
    <w:p>
      <w:pPr>
        <w:jc w:val="center"/>
      </w:pPr>
      <w:r>
        <w:drawing>
          <wp:inline xmlns:a="http://schemas.openxmlformats.org/drawingml/2006/main" xmlns:pic="http://schemas.openxmlformats.org/drawingml/2006/picture">
            <wp:extent cx="5029200" cy="4617638"/>
            <wp:docPr id="1" name="Picture 1"/>
            <wp:cNvGraphicFramePr>
              <a:graphicFrameLocks noChangeAspect="1"/>
            </wp:cNvGraphicFramePr>
            <a:graphic>
              <a:graphicData uri="http://schemas.openxmlformats.org/drawingml/2006/picture">
                <pic:pic>
                  <pic:nvPicPr>
                    <pic:cNvPr id="0" name="delong_test.png"/>
                    <pic:cNvPicPr/>
                  </pic:nvPicPr>
                  <pic:blipFill>
                    <a:blip r:embed="rId9"/>
                    <a:stretch>
                      <a:fillRect/>
                    </a:stretch>
                  </pic:blipFill>
                  <pic:spPr>
                    <a:xfrm>
                      <a:off x="0" y="0"/>
                      <a:ext cx="5029200" cy="4617638"/>
                    </a:xfrm>
                    <a:prstGeom prst="rect"/>
                  </pic:spPr>
                </pic:pic>
              </a:graphicData>
            </a:graphic>
          </wp:inline>
        </w:drawing>
      </w:r>
    </w:p>
    <w:p>
      <w:r>
        <w:t>Résultats clés du test de DeLong :</w:t>
      </w:r>
    </w:p>
    <w:p>
      <w:pPr>
        <w:pStyle w:val="ListBullet"/>
      </w:pPr>
      <w:r>
        <w:t>Toutes les méthodes de fusion surpassent significativement le MRI seul (p &lt; 0.001), confirmant l'intérêt de l'intégration multimodale.</w:t>
      </w:r>
    </w:p>
    <w:p>
      <w:pPr>
        <w:pStyle w:val="ListBullet"/>
      </w:pPr>
      <w:r>
        <w:t>MLP Late Wt et XGB Late Wt obtiennent les meilleurs AUC (0.955 et 0.952) sans différence significative entre eux (p = 0.36).</w:t>
      </w:r>
    </w:p>
    <w:p>
      <w:pPr>
        <w:pStyle w:val="ListBullet"/>
      </w:pPr>
      <w:r>
        <w:t>Les modèles tabulaires seuls (XGB/MLP) sont significativement inférieurs aux meilleures méthodes de fusion, montrant que l'IRM apporte une information discriminante au-delà des caractéristiques cliniques.</w:t>
      </w:r>
    </w:p>
    <w:p>
      <w:pPr>
        <w:pStyle w:val="ListBullet"/>
      </w:pPr>
      <w:r>
        <w:t>MLP Late Stack est la méthode de fusion la plus faible, significativement en dessous des autres.</w:t>
      </w:r>
    </w:p>
    <w:p>
      <w:pPr>
        <w:pStyle w:val="Heading1"/>
      </w:pPr>
      <w:r>
        <w:rPr>
          <w:color w:val="1A1A2E"/>
        </w:rPr>
        <w:t>3. Courbes ROC</w:t>
      </w:r>
    </w:p>
    <w:p>
      <w:pPr>
        <w:jc w:val="center"/>
      </w:pPr>
      <w:r>
        <w:drawing>
          <wp:inline xmlns:a="http://schemas.openxmlformats.org/drawingml/2006/main" xmlns:pic="http://schemas.openxmlformats.org/drawingml/2006/picture">
            <wp:extent cx="5029200" cy="2143742"/>
            <wp:docPr id="2" name="Picture 2"/>
            <wp:cNvGraphicFramePr>
              <a:graphicFrameLocks noChangeAspect="1"/>
            </wp:cNvGraphicFramePr>
            <a:graphic>
              <a:graphicData uri="http://schemas.openxmlformats.org/drawingml/2006/picture">
                <pic:pic>
                  <pic:nvPicPr>
                    <pic:cNvPr id="0" name="roc_curves.png"/>
                    <pic:cNvPicPr/>
                  </pic:nvPicPr>
                  <pic:blipFill>
                    <a:blip r:embed="rId10"/>
                    <a:stretch>
                      <a:fillRect/>
                    </a:stretch>
                  </pic:blipFill>
                  <pic:spPr>
                    <a:xfrm>
                      <a:off x="0" y="0"/>
                      <a:ext cx="5029200" cy="2143742"/>
                    </a:xfrm>
                    <a:prstGeom prst="rect"/>
                  </pic:spPr>
                </pic:pic>
              </a:graphicData>
            </a:graphic>
          </wp:inline>
        </w:drawing>
      </w:r>
    </w:p>
    <w:p>
      <w:pPr>
        <w:pStyle w:val="Heading1"/>
      </w:pPr>
      <w:r>
        <w:rPr>
          <w:color w:val="1A1A2E"/>
        </w:rPr>
        <w:t>4. Interprétabilité — Integrated Gradients</w:t>
      </w:r>
    </w:p>
    <w:p>
      <w:r>
        <w:t>La méthode Integrated Gradients (Sundararajan et al., 2017) fournit des cartes d'attribution au niveau du voxel, à la résolution native de l'entrée (128x128x128). Contrairement au GradCAM, limité par la résolution des feature maps (~4x4x4), Integrated Gradients calcule les attributions directement dans l'espace d'entrée en intégrant les gradients le long d'un chemin allant d'une baseline nulle à l'entrée. Cela permet une localisation précise des régions cérébrales influençant la décision du modèle.</w:t>
      </w:r>
    </w:p>
    <w:p>
      <w:pPr>
        <w:pStyle w:val="Heading2"/>
      </w:pPr>
      <w:r>
        <w:rPr>
          <w:color w:val="1A1A2E"/>
        </w:rPr>
        <w:t>4.1 Exemple : Patient Alzheimer</w:t>
      </w:r>
    </w:p>
    <w:p>
      <w:r>
        <w:t>Prédiction AD à haute confiance (p(AD) = 0.997). Les régions lumineuses indiquent les voxels à forte attribution pour la prédiction AD. Les activations sont concentrées dans le lobe temporal médial (hippocampe, cortex entorhinal), ce qui est cohérent avec les patterns connus de neurodégénérescence liée à la maladie d'Alzheimer.</w:t>
      </w:r>
    </w:p>
    <w:p>
      <w:pPr>
        <w:jc w:val="center"/>
      </w:pPr>
      <w:r>
        <w:drawing>
          <wp:inline xmlns:a="http://schemas.openxmlformats.org/drawingml/2006/main" xmlns:pic="http://schemas.openxmlformats.org/drawingml/2006/picture">
            <wp:extent cx="5029200" cy="1678514"/>
            <wp:docPr id="3" name="Picture 3"/>
            <wp:cNvGraphicFramePr>
              <a:graphicFrameLocks noChangeAspect="1"/>
            </wp:cNvGraphicFramePr>
            <a:graphic>
              <a:graphicData uri="http://schemas.openxmlformats.org/drawingml/2006/picture">
                <pic:pic>
                  <pic:nvPicPr>
                    <pic:cNvPr id="0" name="AD_01.png"/>
                    <pic:cNvPicPr/>
                  </pic:nvPicPr>
                  <pic:blipFill>
                    <a:blip r:embed="rId11"/>
                    <a:stretch>
                      <a:fillRect/>
                    </a:stretch>
                  </pic:blipFill>
                  <pic:spPr>
                    <a:xfrm>
                      <a:off x="0" y="0"/>
                      <a:ext cx="5029200" cy="1678514"/>
                    </a:xfrm>
                    <a:prstGeom prst="rect"/>
                  </pic:spPr>
                </pic:pic>
              </a:graphicData>
            </a:graphic>
          </wp:inline>
        </w:drawing>
      </w:r>
    </w:p>
    <w:p>
      <w:pPr>
        <w:pStyle w:val="Caption"/>
      </w:pPr>
      <w:r>
        <w:t>Figure : Integrated Gradients — Patient AD (MLP Early Fusion, seed 2)</w:t>
      </w:r>
    </w:p>
    <w:p>
      <w:pPr>
        <w:pStyle w:val="Heading2"/>
      </w:pPr>
      <w:r>
        <w:rPr>
          <w:color w:val="1A1A2E"/>
        </w:rPr>
        <w:t>4.2 Exemple : Patient cognitivement normal</w:t>
      </w:r>
    </w:p>
    <w:p>
      <w:r>
        <w:t>Prédiction CN à haute confiance (p(AD) = 0.003). Le pattern d'attribution est plus diffus et distribué sur l'ensemble des régions corticales, avec une moindre concentration dans les structures temporales médiales. Cela suggère que le modèle reconnaît l'intégrité structurelle des régions hippocampiques et temporales comme indicateur de cognition normale.</w:t>
      </w:r>
    </w:p>
    <w:p>
      <w:pPr>
        <w:jc w:val="center"/>
      </w:pPr>
      <w:r>
        <w:drawing>
          <wp:inline xmlns:a="http://schemas.openxmlformats.org/drawingml/2006/main" xmlns:pic="http://schemas.openxmlformats.org/drawingml/2006/picture">
            <wp:extent cx="5029200" cy="1678514"/>
            <wp:docPr id="4" name="Picture 4"/>
            <wp:cNvGraphicFramePr>
              <a:graphicFrameLocks noChangeAspect="1"/>
            </wp:cNvGraphicFramePr>
            <a:graphic>
              <a:graphicData uri="http://schemas.openxmlformats.org/drawingml/2006/picture">
                <pic:pic>
                  <pic:nvPicPr>
                    <pic:cNvPr id="0" name="CN_01.png"/>
                    <pic:cNvPicPr/>
                  </pic:nvPicPr>
                  <pic:blipFill>
                    <a:blip r:embed="rId12"/>
                    <a:stretch>
                      <a:fillRect/>
                    </a:stretch>
                  </pic:blipFill>
                  <pic:spPr>
                    <a:xfrm>
                      <a:off x="0" y="0"/>
                      <a:ext cx="5029200" cy="1678514"/>
                    </a:xfrm>
                    <a:prstGeom prst="rect"/>
                  </pic:spPr>
                </pic:pic>
              </a:graphicData>
            </a:graphic>
          </wp:inline>
        </w:drawing>
      </w:r>
    </w:p>
    <w:p>
      <w:pPr>
        <w:pStyle w:val="Caption"/>
      </w:pPr>
      <w:r>
        <w:t>Figure : Integrated Gradients — Patient CN (MLP Early Fusion, seed 2)</w:t>
      </w:r>
    </w:p>
    <w:p>
      <w:pPr>
        <w:pStyle w:val="Heading1"/>
      </w:pPr>
      <w:r>
        <w:rPr>
          <w:color w:val="1A1A2E"/>
        </w:rPr>
        <w:t>5. Contenu du dossier d'interprétabilité</w:t>
      </w:r>
    </w:p>
    <w:p>
      <w:r>
        <w:t>Le dossier interpretability/ ci-joint contient les visualisations Integrated Gradients pour les 4 modèles, calculées sur les mêmes 5 patients AD et 5 patients CN afin de permettre une comparaison directe. La structure est la suivante :</w:t>
      </w:r>
    </w:p>
    <w:p>
      <w:pPr>
        <w:pStyle w:val="ListBullet"/>
      </w:pPr>
      <w:r>
        <w:rPr>
          <w:b/>
          <w:sz w:val="20"/>
        </w:rPr>
        <w:t xml:space="preserve">mlp_early_fusion/ </w:t>
      </w:r>
      <w:r>
        <w:rPr>
          <w:sz w:val="20"/>
        </w:rPr>
        <w:t>Integrated Gradients pour le modèle MLP Early Fusion (ResNet3D + MLP tabulaire, bout-en-bout). Contient AD_01..05.png, CN_01..05.png (cartes individuelles, 3 vues chacune) et grid_mlp_early_fusion.png (les 10 patients).</w:t>
      </w:r>
    </w:p>
    <w:p>
      <w:pPr>
        <w:pStyle w:val="ListBullet"/>
      </w:pPr>
      <w:r>
        <w:rPr>
          <w:b/>
          <w:sz w:val="20"/>
        </w:rPr>
        <w:t xml:space="preserve">mlp_late_fusion/ </w:t>
      </w:r>
      <w:r>
        <w:rPr>
          <w:sz w:val="20"/>
        </w:rPr>
        <w:t>Idem pour MLP Late Fusion (branche MRI du ResNet3D uniquement, entraînée séparément du MLP tabulaire). Montre les régions ciblées par la branche IRM.</w:t>
      </w:r>
    </w:p>
    <w:p>
      <w:pPr>
        <w:pStyle w:val="ListBullet"/>
      </w:pPr>
      <w:r>
        <w:rPr>
          <w:b/>
          <w:sz w:val="20"/>
        </w:rPr>
        <w:t xml:space="preserve">xgb_early_fusion/ </w:t>
      </w:r>
      <w:r>
        <w:rPr>
          <w:sz w:val="20"/>
        </w:rPr>
        <w:t>Idem pour XGBoost Early Fusion (backbone ResNet3D finetuné, features envoyées à XGBoost). IG calculé à travers le backbone CNN.</w:t>
      </w:r>
    </w:p>
    <w:p>
      <w:pPr>
        <w:pStyle w:val="ListBullet"/>
      </w:pPr>
      <w:r>
        <w:rPr>
          <w:b/>
          <w:sz w:val="20"/>
        </w:rPr>
        <w:t xml:space="preserve">xgb_late_fusion/ </w:t>
      </w:r>
      <w:r>
        <w:rPr>
          <w:sz w:val="20"/>
        </w:rPr>
        <w:t>Idem pour XGBoost Late Fusion (branche MRI du ResNet3D, XGBoost séparé sur le tabulaire). Montre les attributions de la branche IRM.</w:t>
      </w:r>
    </w:p>
    <w:p>
      <w:pPr>
        <w:pStyle w:val="ListBullet"/>
      </w:pPr>
      <w:r>
        <w:rPr>
          <w:b/>
          <w:sz w:val="20"/>
        </w:rPr>
        <w:t xml:space="preserve">cross_model_comparison.png </w:t>
      </w:r>
      <w:r>
        <w:rPr>
          <w:sz w:val="20"/>
        </w:rPr>
        <w:t>Grille récapitulative : 10 patients (lignes) x 4 modèles (colonnes), vue axiale. Permet une comparaison directe de ce que chaque modèle observe sur le même cerveau.</w:t>
      </w:r>
    </w:p>
    <w:p>
      <w:pPr>
        <w:pStyle w:val="ListBullet"/>
      </w:pPr>
      <w:r>
        <w:rPr>
          <w:b/>
          <w:sz w:val="20"/>
        </w:rPr>
        <w:t xml:space="preserve">group_average_AD.png </w:t>
      </w:r>
      <w:r>
        <w:rPr>
          <w:sz w:val="20"/>
        </w:rPr>
        <w:t>Carte d'attribution moyenne sur 50 patients AD correctement classifiés. Met en évidence les régions systématiquement importantes pour la prédiction AD.</w:t>
      </w:r>
    </w:p>
    <w:p>
      <w:pPr>
        <w:pStyle w:val="ListBullet"/>
      </w:pPr>
      <w:r>
        <w:rPr>
          <w:b/>
          <w:sz w:val="20"/>
        </w:rPr>
        <w:t xml:space="preserve">group_average_CN.png </w:t>
      </w:r>
      <w:r>
        <w:rPr>
          <w:sz w:val="20"/>
        </w:rPr>
        <w:t>Carte d'attribution moyenne sur 50 patients CN correctement classifiés.</w:t>
      </w:r>
    </w:p>
    <w:p>
      <w:pPr>
        <w:pStyle w:val="ListBullet"/>
      </w:pPr>
      <w:r>
        <w:rPr>
          <w:b/>
          <w:sz w:val="20"/>
        </w:rPr>
        <w:t xml:space="preserve">group_difference_AD_minus_CN.png </w:t>
      </w:r>
      <w:r>
        <w:rPr>
          <w:sz w:val="20"/>
        </w:rPr>
        <w:t>Carte d'attribution différentielle (moyenne AD moins moyenne CN). Rouge = plus important pour AD (lobe temporal médial), Bleu = plus important pour CN (frontal/pariétal). C'est la figure la plus informative pour comprendre le comportement du modèle.</w:t>
      </w:r>
    </w:p>
    <w:p>
      <w:pPr>
        <w:pStyle w:val="ListBullet"/>
      </w:pPr>
      <w:r>
        <w:rPr>
          <w:b/>
          <w:sz w:val="20"/>
        </w:rPr>
        <w:t xml:space="preserve">summary_figure.png </w:t>
      </w:r>
      <w:r>
        <w:rPr>
          <w:sz w:val="20"/>
        </w:rPr>
        <w:t>Figure de synthèse combinant exemples individuels, moyenne de groupe et carte de différence.</w:t>
      </w:r>
    </w:p>
    <w:p>
      <w:pPr>
        <w:pStyle w:val="ListBullet"/>
      </w:pPr>
      <w:r>
        <w:rPr>
          <w:b/>
          <w:sz w:val="20"/>
        </w:rPr>
        <w:t xml:space="preserve">*.npy files </w:t>
      </w:r>
      <w:r>
        <w:rPr>
          <w:sz w:val="20"/>
        </w:rPr>
        <w:t>Tableaux numpy bruts des moyennes de groupe et cartes de différence pour analyse complémentaire ou visualisation personnalisée.</w:t>
      </w:r>
    </w:p>
    <w:p>
      <w:r>
        <w:t>Toutes les cartes d'attribution ont été calculées avec Integrated Gradients (100 étapes d'interpolation, baseline nulle), à partir de la meilleure seed (seed 2, AUC = 0.954). Les mêmes 5 patients AD et 5 patients CN (sélectionnés par confiance de prédiction) sont utilisés pour les 4 modèles afin de permettre une comparaison directe.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