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rPr>
        <w:t>ResNet3D Fusion — Multi-Seed Analysis Report</w:t>
      </w:r>
    </w:p>
    <w:p>
      <w:r>
        <w:t>Classification CN vs AD using ResNet50 3D (MedicalNet pretrained) with clinical tabular features. Multi-seed evaluation (5 seeds) across 4 fusion strategies.</w:t>
      </w:r>
    </w:p>
    <w:p>
      <w:pPr>
        <w:pStyle w:val="Heading1"/>
      </w:pPr>
      <w:r>
        <w:rPr>
          <w:color w:val="1A1A2E"/>
        </w:rPr>
        <w:t>1. Performance Summary</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t>Method</w:t>
            </w:r>
          </w:p>
        </w:tc>
        <w:tc>
          <w:tcPr>
            <w:tcW w:type="dxa" w:w="1234"/>
          </w:tcPr>
          <w:p>
            <w:pPr>
              <w:jc w:val="center"/>
            </w:pPr>
            <w:r>
              <w:rPr>
                <w:b/>
                <w:sz w:val="18"/>
              </w:rPr>
              <w:t>Acc %</w:t>
            </w:r>
          </w:p>
        </w:tc>
        <w:tc>
          <w:tcPr>
            <w:tcW w:type="dxa" w:w="1234"/>
          </w:tcPr>
          <w:p>
            <w:pPr>
              <w:jc w:val="center"/>
            </w:pPr>
            <w:r>
              <w:rPr>
                <w:b/>
                <w:sz w:val="18"/>
              </w:rPr>
              <w:t>Bal Acc %</w:t>
            </w:r>
          </w:p>
        </w:tc>
        <w:tc>
          <w:tcPr>
            <w:tcW w:type="dxa" w:w="1234"/>
          </w:tcPr>
          <w:p>
            <w:pPr>
              <w:jc w:val="center"/>
            </w:pPr>
            <w:r>
              <w:rPr>
                <w:b/>
                <w:sz w:val="18"/>
              </w:rPr>
              <w:t>Sens %</w:t>
            </w:r>
          </w:p>
        </w:tc>
        <w:tc>
          <w:tcPr>
            <w:tcW w:type="dxa" w:w="1234"/>
          </w:tcPr>
          <w:p>
            <w:pPr>
              <w:jc w:val="center"/>
            </w:pPr>
            <w:r>
              <w:rPr>
                <w:b/>
                <w:sz w:val="18"/>
              </w:rPr>
              <w:t>Spec %</w:t>
            </w:r>
          </w:p>
        </w:tc>
        <w:tc>
          <w:tcPr>
            <w:tcW w:type="dxa" w:w="1234"/>
          </w:tcPr>
          <w:p>
            <w:pPr>
              <w:jc w:val="center"/>
            </w:pPr>
            <w:r>
              <w:rPr>
                <w:b/>
                <w:sz w:val="18"/>
              </w:rPr>
              <w:t>AUC</w:t>
            </w:r>
          </w:p>
        </w:tc>
        <w:tc>
          <w:tcPr>
            <w:tcW w:type="dxa" w:w="1234"/>
          </w:tcPr>
          <w:p>
            <w:pPr>
              <w:jc w:val="center"/>
            </w:pPr>
            <w:r>
              <w:rPr>
                <w:b/>
                <w:sz w:val="18"/>
              </w:rPr>
              <w:t>Seeds</w:t>
            </w:r>
          </w:p>
        </w:tc>
      </w:tr>
      <w:tr>
        <w:tc>
          <w:tcPr>
            <w:tcW w:type="dxa" w:w="1234"/>
          </w:tcPr>
          <w:p>
            <w:pPr>
              <w:jc w:val="center"/>
            </w:pPr>
            <w:r>
              <w:rPr>
                <w:sz w:val="18"/>
              </w:rPr>
              <w:t>MLP Late Wt</w:t>
            </w:r>
          </w:p>
        </w:tc>
        <w:tc>
          <w:tcPr>
            <w:tcW w:type="dxa" w:w="1234"/>
          </w:tcPr>
          <w:p>
            <w:pPr>
              <w:jc w:val="center"/>
            </w:pPr>
            <w:r>
              <w:rPr>
                <w:sz w:val="18"/>
              </w:rPr>
              <w:t>91.2 +/- 1.5</w:t>
            </w:r>
          </w:p>
        </w:tc>
        <w:tc>
          <w:tcPr>
            <w:tcW w:type="dxa" w:w="1234"/>
          </w:tcPr>
          <w:p>
            <w:pPr>
              <w:jc w:val="center"/>
            </w:pPr>
            <w:r>
              <w:rPr>
                <w:sz w:val="18"/>
              </w:rPr>
              <w:t>89.2 +/- 0.5</w:t>
            </w:r>
          </w:p>
        </w:tc>
        <w:tc>
          <w:tcPr>
            <w:tcW w:type="dxa" w:w="1234"/>
          </w:tcPr>
          <w:p>
            <w:pPr>
              <w:jc w:val="center"/>
            </w:pPr>
            <w:r>
              <w:rPr>
                <w:sz w:val="18"/>
              </w:rPr>
              <w:t>85.8 +/- 1.4</w:t>
            </w:r>
          </w:p>
        </w:tc>
        <w:tc>
          <w:tcPr>
            <w:tcW w:type="dxa" w:w="1234"/>
          </w:tcPr>
          <w:p>
            <w:pPr>
              <w:jc w:val="center"/>
            </w:pPr>
            <w:r>
              <w:rPr>
                <w:sz w:val="18"/>
              </w:rPr>
              <w:t>92.7 +/- 2.2</w:t>
            </w:r>
          </w:p>
        </w:tc>
        <w:tc>
          <w:tcPr>
            <w:tcW w:type="dxa" w:w="1234"/>
          </w:tcPr>
          <w:p>
            <w:pPr>
              <w:jc w:val="center"/>
            </w:pPr>
            <w:r>
              <w:rPr>
                <w:sz w:val="18"/>
              </w:rPr>
              <w:t>0.950 +/- 0.003</w:t>
            </w:r>
          </w:p>
        </w:tc>
        <w:tc>
          <w:tcPr>
            <w:tcW w:type="dxa" w:w="1234"/>
          </w:tcPr>
          <w:p>
            <w:pPr>
              <w:jc w:val="center"/>
            </w:pPr>
            <w:r>
              <w:rPr>
                <w:sz w:val="18"/>
              </w:rPr>
              <w:t>5</w:t>
            </w:r>
          </w:p>
        </w:tc>
      </w:tr>
      <w:tr>
        <w:tc>
          <w:tcPr>
            <w:tcW w:type="dxa" w:w="1234"/>
          </w:tcPr>
          <w:p>
            <w:pPr>
              <w:jc w:val="center"/>
            </w:pPr>
            <w:r>
              <w:rPr>
                <w:sz w:val="18"/>
              </w:rPr>
              <w:t>XGB Late Wt</w:t>
            </w:r>
          </w:p>
        </w:tc>
        <w:tc>
          <w:tcPr>
            <w:tcW w:type="dxa" w:w="1234"/>
          </w:tcPr>
          <w:p>
            <w:pPr>
              <w:jc w:val="center"/>
            </w:pPr>
            <w:r>
              <w:rPr>
                <w:sz w:val="18"/>
              </w:rPr>
              <w:t>92.0 +/- 0.8</w:t>
            </w:r>
          </w:p>
        </w:tc>
        <w:tc>
          <w:tcPr>
            <w:tcW w:type="dxa" w:w="1234"/>
          </w:tcPr>
          <w:p>
            <w:pPr>
              <w:jc w:val="center"/>
            </w:pPr>
            <w:r>
              <w:rPr>
                <w:sz w:val="18"/>
              </w:rPr>
              <w:t>88.6 +/- 0.7</w:t>
            </w:r>
          </w:p>
        </w:tc>
        <w:tc>
          <w:tcPr>
            <w:tcW w:type="dxa" w:w="1234"/>
          </w:tcPr>
          <w:p>
            <w:pPr>
              <w:jc w:val="center"/>
            </w:pPr>
            <w:r>
              <w:rPr>
                <w:sz w:val="18"/>
              </w:rPr>
              <w:t>82.6 +/- 1.4</w:t>
            </w:r>
          </w:p>
        </w:tc>
        <w:tc>
          <w:tcPr>
            <w:tcW w:type="dxa" w:w="1234"/>
          </w:tcPr>
          <w:p>
            <w:pPr>
              <w:jc w:val="center"/>
            </w:pPr>
            <w:r>
              <w:rPr>
                <w:sz w:val="18"/>
              </w:rPr>
              <w:t>94.6 +/- 1.1</w:t>
            </w:r>
          </w:p>
        </w:tc>
        <w:tc>
          <w:tcPr>
            <w:tcW w:type="dxa" w:w="1234"/>
          </w:tcPr>
          <w:p>
            <w:pPr>
              <w:jc w:val="center"/>
            </w:pPr>
            <w:r>
              <w:rPr>
                <w:sz w:val="18"/>
              </w:rPr>
              <w:t>0.949 +/- 0.002</w:t>
            </w:r>
          </w:p>
        </w:tc>
        <w:tc>
          <w:tcPr>
            <w:tcW w:type="dxa" w:w="1234"/>
          </w:tcPr>
          <w:p>
            <w:pPr>
              <w:jc w:val="center"/>
            </w:pPr>
            <w:r>
              <w:rPr>
                <w:sz w:val="18"/>
              </w:rPr>
              <w:t>5</w:t>
            </w:r>
          </w:p>
        </w:tc>
      </w:tr>
      <w:tr>
        <w:tc>
          <w:tcPr>
            <w:tcW w:type="dxa" w:w="1234"/>
          </w:tcPr>
          <w:p>
            <w:pPr>
              <w:jc w:val="center"/>
            </w:pPr>
            <w:r>
              <w:rPr>
                <w:sz w:val="18"/>
              </w:rPr>
              <w:t>XGB Late Stack</w:t>
            </w:r>
          </w:p>
        </w:tc>
        <w:tc>
          <w:tcPr>
            <w:tcW w:type="dxa" w:w="1234"/>
          </w:tcPr>
          <w:p>
            <w:pPr>
              <w:jc w:val="center"/>
            </w:pPr>
            <w:r>
              <w:rPr>
                <w:sz w:val="18"/>
              </w:rPr>
              <w:t>91.0 +/- 0.3</w:t>
            </w:r>
          </w:p>
        </w:tc>
        <w:tc>
          <w:tcPr>
            <w:tcW w:type="dxa" w:w="1234"/>
          </w:tcPr>
          <w:p>
            <w:pPr>
              <w:jc w:val="center"/>
            </w:pPr>
            <w:r>
              <w:rPr>
                <w:sz w:val="18"/>
              </w:rPr>
              <w:t>82.5 +/- 1.4</w:t>
            </w:r>
          </w:p>
        </w:tc>
        <w:tc>
          <w:tcPr>
            <w:tcW w:type="dxa" w:w="1234"/>
          </w:tcPr>
          <w:p>
            <w:pPr>
              <w:jc w:val="center"/>
            </w:pPr>
            <w:r>
              <w:rPr>
                <w:sz w:val="18"/>
              </w:rPr>
              <w:t>67.5 +/- 3.3</w:t>
            </w:r>
          </w:p>
        </w:tc>
        <w:tc>
          <w:tcPr>
            <w:tcW w:type="dxa" w:w="1234"/>
          </w:tcPr>
          <w:p>
            <w:pPr>
              <w:jc w:val="center"/>
            </w:pPr>
            <w:r>
              <w:rPr>
                <w:sz w:val="18"/>
              </w:rPr>
              <w:t>97.6 +/- 0.5</w:t>
            </w:r>
          </w:p>
        </w:tc>
        <w:tc>
          <w:tcPr>
            <w:tcW w:type="dxa" w:w="1234"/>
          </w:tcPr>
          <w:p>
            <w:pPr>
              <w:jc w:val="center"/>
            </w:pPr>
            <w:r>
              <w:rPr>
                <w:sz w:val="18"/>
              </w:rPr>
              <w:t>0.949 +/- 0.002</w:t>
            </w:r>
          </w:p>
        </w:tc>
        <w:tc>
          <w:tcPr>
            <w:tcW w:type="dxa" w:w="1234"/>
          </w:tcPr>
          <w:p>
            <w:pPr>
              <w:jc w:val="center"/>
            </w:pPr>
            <w:r>
              <w:rPr>
                <w:sz w:val="18"/>
              </w:rPr>
              <w:t>5</w:t>
            </w:r>
          </w:p>
        </w:tc>
      </w:tr>
      <w:tr>
        <w:tc>
          <w:tcPr>
            <w:tcW w:type="dxa" w:w="1234"/>
          </w:tcPr>
          <w:p>
            <w:pPr>
              <w:jc w:val="center"/>
            </w:pPr>
            <w:r>
              <w:rPr>
                <w:sz w:val="18"/>
              </w:rPr>
              <w:t>MLP Late Avg</w:t>
            </w:r>
          </w:p>
        </w:tc>
        <w:tc>
          <w:tcPr>
            <w:tcW w:type="dxa" w:w="1234"/>
          </w:tcPr>
          <w:p>
            <w:pPr>
              <w:jc w:val="center"/>
            </w:pPr>
            <w:r>
              <w:rPr>
                <w:sz w:val="18"/>
              </w:rPr>
              <w:t>89.8 +/- 1.3</w:t>
            </w:r>
          </w:p>
        </w:tc>
        <w:tc>
          <w:tcPr>
            <w:tcW w:type="dxa" w:w="1234"/>
          </w:tcPr>
          <w:p>
            <w:pPr>
              <w:jc w:val="center"/>
            </w:pPr>
            <w:r>
              <w:rPr>
                <w:sz w:val="18"/>
              </w:rPr>
              <w:t>86.0 +/- 1.4</w:t>
            </w:r>
          </w:p>
        </w:tc>
        <w:tc>
          <w:tcPr>
            <w:tcW w:type="dxa" w:w="1234"/>
          </w:tcPr>
          <w:p>
            <w:pPr>
              <w:jc w:val="center"/>
            </w:pPr>
            <w:r>
              <w:rPr>
                <w:sz w:val="18"/>
              </w:rPr>
              <w:t>79.3 +/- 4.4</w:t>
            </w:r>
          </w:p>
        </w:tc>
        <w:tc>
          <w:tcPr>
            <w:tcW w:type="dxa" w:w="1234"/>
          </w:tcPr>
          <w:p>
            <w:pPr>
              <w:jc w:val="center"/>
            </w:pPr>
            <w:r>
              <w:rPr>
                <w:sz w:val="18"/>
              </w:rPr>
              <w:t>92.8 +/- 2.6</w:t>
            </w:r>
          </w:p>
        </w:tc>
        <w:tc>
          <w:tcPr>
            <w:tcW w:type="dxa" w:w="1234"/>
          </w:tcPr>
          <w:p>
            <w:pPr>
              <w:jc w:val="center"/>
            </w:pPr>
            <w:r>
              <w:rPr>
                <w:sz w:val="18"/>
              </w:rPr>
              <w:t>0.947 +/- 0.004</w:t>
            </w:r>
          </w:p>
        </w:tc>
        <w:tc>
          <w:tcPr>
            <w:tcW w:type="dxa" w:w="1234"/>
          </w:tcPr>
          <w:p>
            <w:pPr>
              <w:jc w:val="center"/>
            </w:pPr>
            <w:r>
              <w:rPr>
                <w:sz w:val="18"/>
              </w:rPr>
              <w:t>5</w:t>
            </w:r>
          </w:p>
        </w:tc>
      </w:tr>
      <w:tr>
        <w:tc>
          <w:tcPr>
            <w:tcW w:type="dxa" w:w="1234"/>
          </w:tcPr>
          <w:p>
            <w:pPr>
              <w:jc w:val="center"/>
            </w:pPr>
            <w:r>
              <w:rPr>
                <w:sz w:val="18"/>
              </w:rPr>
              <w:t>XGB Late Avg</w:t>
            </w:r>
          </w:p>
        </w:tc>
        <w:tc>
          <w:tcPr>
            <w:tcW w:type="dxa" w:w="1234"/>
          </w:tcPr>
          <w:p>
            <w:pPr>
              <w:jc w:val="center"/>
            </w:pPr>
            <w:r>
              <w:rPr>
                <w:sz w:val="18"/>
              </w:rPr>
              <w:t>89.7 +/- 1.1</w:t>
            </w:r>
          </w:p>
        </w:tc>
        <w:tc>
          <w:tcPr>
            <w:tcW w:type="dxa" w:w="1234"/>
          </w:tcPr>
          <w:p>
            <w:pPr>
              <w:jc w:val="center"/>
            </w:pPr>
            <w:r>
              <w:rPr>
                <w:sz w:val="18"/>
              </w:rPr>
              <w:t>86.1 +/- 1.1</w:t>
            </w:r>
          </w:p>
        </w:tc>
        <w:tc>
          <w:tcPr>
            <w:tcW w:type="dxa" w:w="1234"/>
          </w:tcPr>
          <w:p>
            <w:pPr>
              <w:jc w:val="center"/>
            </w:pPr>
            <w:r>
              <w:rPr>
                <w:sz w:val="18"/>
              </w:rPr>
              <w:t>79.7 +/- 2.6</w:t>
            </w:r>
          </w:p>
        </w:tc>
        <w:tc>
          <w:tcPr>
            <w:tcW w:type="dxa" w:w="1234"/>
          </w:tcPr>
          <w:p>
            <w:pPr>
              <w:jc w:val="center"/>
            </w:pPr>
            <w:r>
              <w:rPr>
                <w:sz w:val="18"/>
              </w:rPr>
              <w:t>92.5 +/- 1.7</w:t>
            </w:r>
          </w:p>
        </w:tc>
        <w:tc>
          <w:tcPr>
            <w:tcW w:type="dxa" w:w="1234"/>
          </w:tcPr>
          <w:p>
            <w:pPr>
              <w:jc w:val="center"/>
            </w:pPr>
            <w:r>
              <w:rPr>
                <w:sz w:val="18"/>
              </w:rPr>
              <w:t>0.946 +/- 0.003</w:t>
            </w:r>
          </w:p>
        </w:tc>
        <w:tc>
          <w:tcPr>
            <w:tcW w:type="dxa" w:w="1234"/>
          </w:tcPr>
          <w:p>
            <w:pPr>
              <w:jc w:val="center"/>
            </w:pPr>
            <w:r>
              <w:rPr>
                <w:sz w:val="18"/>
              </w:rPr>
              <w:t>5</w:t>
            </w:r>
          </w:p>
        </w:tc>
      </w:tr>
      <w:tr>
        <w:tc>
          <w:tcPr>
            <w:tcW w:type="dxa" w:w="1234"/>
          </w:tcPr>
          <w:p>
            <w:pPr>
              <w:jc w:val="center"/>
            </w:pPr>
            <w:r>
              <w:rPr>
                <w:sz w:val="18"/>
              </w:rPr>
              <w:t>MLP Early</w:t>
            </w:r>
          </w:p>
        </w:tc>
        <w:tc>
          <w:tcPr>
            <w:tcW w:type="dxa" w:w="1234"/>
          </w:tcPr>
          <w:p>
            <w:pPr>
              <w:jc w:val="center"/>
            </w:pPr>
            <w:r>
              <w:rPr>
                <w:sz w:val="18"/>
              </w:rPr>
              <w:t>91.9 +/- 0.8</w:t>
            </w:r>
          </w:p>
        </w:tc>
        <w:tc>
          <w:tcPr>
            <w:tcW w:type="dxa" w:w="1234"/>
          </w:tcPr>
          <w:p>
            <w:pPr>
              <w:jc w:val="center"/>
            </w:pPr>
            <w:r>
              <w:rPr>
                <w:sz w:val="18"/>
              </w:rPr>
              <w:t>89.1 +/- 0.7</w:t>
            </w:r>
          </w:p>
        </w:tc>
        <w:tc>
          <w:tcPr>
            <w:tcW w:type="dxa" w:w="1234"/>
          </w:tcPr>
          <w:p>
            <w:pPr>
              <w:jc w:val="center"/>
            </w:pPr>
            <w:r>
              <w:rPr>
                <w:sz w:val="18"/>
              </w:rPr>
              <w:t>84.0 +/- 1.9</w:t>
            </w:r>
          </w:p>
        </w:tc>
        <w:tc>
          <w:tcPr>
            <w:tcW w:type="dxa" w:w="1234"/>
          </w:tcPr>
          <w:p>
            <w:pPr>
              <w:jc w:val="center"/>
            </w:pPr>
            <w:r>
              <w:rPr>
                <w:sz w:val="18"/>
              </w:rPr>
              <w:t>94.1 +/- 1.3</w:t>
            </w:r>
          </w:p>
        </w:tc>
        <w:tc>
          <w:tcPr>
            <w:tcW w:type="dxa" w:w="1234"/>
          </w:tcPr>
          <w:p>
            <w:pPr>
              <w:jc w:val="center"/>
            </w:pPr>
            <w:r>
              <w:rPr>
                <w:sz w:val="18"/>
              </w:rPr>
              <w:t>0.946 +/- 0.006</w:t>
            </w:r>
          </w:p>
        </w:tc>
        <w:tc>
          <w:tcPr>
            <w:tcW w:type="dxa" w:w="1234"/>
          </w:tcPr>
          <w:p>
            <w:pPr>
              <w:jc w:val="center"/>
            </w:pPr>
            <w:r>
              <w:rPr>
                <w:sz w:val="18"/>
              </w:rPr>
              <w:t>5</w:t>
            </w:r>
          </w:p>
        </w:tc>
      </w:tr>
      <w:tr>
        <w:tc>
          <w:tcPr>
            <w:tcW w:type="dxa" w:w="1234"/>
          </w:tcPr>
          <w:p>
            <w:pPr>
              <w:jc w:val="center"/>
            </w:pPr>
            <w:r>
              <w:rPr>
                <w:sz w:val="18"/>
              </w:rPr>
              <w:t>Tab only (XGB)</w:t>
            </w:r>
          </w:p>
        </w:tc>
        <w:tc>
          <w:tcPr>
            <w:tcW w:type="dxa" w:w="1234"/>
          </w:tcPr>
          <w:p>
            <w:pPr>
              <w:jc w:val="center"/>
            </w:pPr>
            <w:r>
              <w:rPr>
                <w:sz w:val="18"/>
              </w:rPr>
              <w:t>88.8 +/- 0.2</w:t>
            </w:r>
          </w:p>
        </w:tc>
        <w:tc>
          <w:tcPr>
            <w:tcW w:type="dxa" w:w="1234"/>
          </w:tcPr>
          <w:p>
            <w:pPr>
              <w:jc w:val="center"/>
            </w:pPr>
            <w:r>
              <w:rPr>
                <w:sz w:val="18"/>
              </w:rPr>
              <w:t>86.0 +/- 0.3</w:t>
            </w:r>
          </w:p>
        </w:tc>
        <w:tc>
          <w:tcPr>
            <w:tcW w:type="dxa" w:w="1234"/>
          </w:tcPr>
          <w:p>
            <w:pPr>
              <w:jc w:val="center"/>
            </w:pPr>
            <w:r>
              <w:rPr>
                <w:sz w:val="18"/>
              </w:rPr>
              <w:t>80.9 +/- 1.1</w:t>
            </w:r>
          </w:p>
        </w:tc>
        <w:tc>
          <w:tcPr>
            <w:tcW w:type="dxa" w:w="1234"/>
          </w:tcPr>
          <w:p>
            <w:pPr>
              <w:jc w:val="center"/>
            </w:pPr>
            <w:r>
              <w:rPr>
                <w:sz w:val="18"/>
              </w:rPr>
              <w:t>91.0 +/- 0.5</w:t>
            </w:r>
          </w:p>
        </w:tc>
        <w:tc>
          <w:tcPr>
            <w:tcW w:type="dxa" w:w="1234"/>
          </w:tcPr>
          <w:p>
            <w:pPr>
              <w:jc w:val="center"/>
            </w:pPr>
            <w:r>
              <w:rPr>
                <w:sz w:val="18"/>
              </w:rPr>
              <w:t>0.937 +/- 0.002</w:t>
            </w:r>
          </w:p>
        </w:tc>
        <w:tc>
          <w:tcPr>
            <w:tcW w:type="dxa" w:w="1234"/>
          </w:tcPr>
          <w:p>
            <w:pPr>
              <w:jc w:val="center"/>
            </w:pPr>
            <w:r>
              <w:rPr>
                <w:sz w:val="18"/>
              </w:rPr>
              <w:t>5</w:t>
            </w:r>
          </w:p>
        </w:tc>
      </w:tr>
      <w:tr>
        <w:tc>
          <w:tcPr>
            <w:tcW w:type="dxa" w:w="1234"/>
          </w:tcPr>
          <w:p>
            <w:pPr>
              <w:jc w:val="center"/>
            </w:pPr>
            <w:r>
              <w:rPr>
                <w:sz w:val="18"/>
              </w:rPr>
              <w:t>Tab only (MLP)</w:t>
            </w:r>
          </w:p>
        </w:tc>
        <w:tc>
          <w:tcPr>
            <w:tcW w:type="dxa" w:w="1234"/>
          </w:tcPr>
          <w:p>
            <w:pPr>
              <w:jc w:val="center"/>
            </w:pPr>
            <w:r>
              <w:rPr>
                <w:sz w:val="18"/>
              </w:rPr>
              <w:t>85.0 +/- 1.3</w:t>
            </w:r>
          </w:p>
        </w:tc>
        <w:tc>
          <w:tcPr>
            <w:tcW w:type="dxa" w:w="1234"/>
          </w:tcPr>
          <w:p>
            <w:pPr>
              <w:jc w:val="center"/>
            </w:pPr>
            <w:r>
              <w:rPr>
                <w:sz w:val="18"/>
              </w:rPr>
              <w:t>85.8 +/- 0.6</w:t>
            </w:r>
          </w:p>
        </w:tc>
        <w:tc>
          <w:tcPr>
            <w:tcW w:type="dxa" w:w="1234"/>
          </w:tcPr>
          <w:p>
            <w:pPr>
              <w:jc w:val="center"/>
            </w:pPr>
            <w:r>
              <w:rPr>
                <w:sz w:val="18"/>
              </w:rPr>
              <w:t>87.3 +/- 1.3</w:t>
            </w:r>
          </w:p>
        </w:tc>
        <w:tc>
          <w:tcPr>
            <w:tcW w:type="dxa" w:w="1234"/>
          </w:tcPr>
          <w:p>
            <w:pPr>
              <w:jc w:val="center"/>
            </w:pPr>
            <w:r>
              <w:rPr>
                <w:sz w:val="18"/>
              </w:rPr>
              <w:t>84.4 +/- 1.9</w:t>
            </w:r>
          </w:p>
        </w:tc>
        <w:tc>
          <w:tcPr>
            <w:tcW w:type="dxa" w:w="1234"/>
          </w:tcPr>
          <w:p>
            <w:pPr>
              <w:jc w:val="center"/>
            </w:pPr>
            <w:r>
              <w:rPr>
                <w:sz w:val="18"/>
              </w:rPr>
              <w:t>0.933 +/- 0.002</w:t>
            </w:r>
          </w:p>
        </w:tc>
        <w:tc>
          <w:tcPr>
            <w:tcW w:type="dxa" w:w="1234"/>
          </w:tcPr>
          <w:p>
            <w:pPr>
              <w:jc w:val="center"/>
            </w:pPr>
            <w:r>
              <w:rPr>
                <w:sz w:val="18"/>
              </w:rPr>
              <w:t>5</w:t>
            </w:r>
          </w:p>
        </w:tc>
      </w:tr>
      <w:tr>
        <w:tc>
          <w:tcPr>
            <w:tcW w:type="dxa" w:w="1234"/>
          </w:tcPr>
          <w:p>
            <w:pPr>
              <w:jc w:val="center"/>
            </w:pPr>
            <w:r>
              <w:rPr>
                <w:sz w:val="18"/>
              </w:rPr>
              <w:t>XGB Early</w:t>
            </w:r>
          </w:p>
        </w:tc>
        <w:tc>
          <w:tcPr>
            <w:tcW w:type="dxa" w:w="1234"/>
          </w:tcPr>
          <w:p>
            <w:pPr>
              <w:jc w:val="center"/>
            </w:pPr>
            <w:r>
              <w:rPr>
                <w:sz w:val="18"/>
              </w:rPr>
              <w:t>89.6 +/- 1.3</w:t>
            </w:r>
          </w:p>
        </w:tc>
        <w:tc>
          <w:tcPr>
            <w:tcW w:type="dxa" w:w="1234"/>
          </w:tcPr>
          <w:p>
            <w:pPr>
              <w:jc w:val="center"/>
            </w:pPr>
            <w:r>
              <w:rPr>
                <w:sz w:val="18"/>
              </w:rPr>
              <w:t>85.3 +/- 2.3</w:t>
            </w:r>
          </w:p>
        </w:tc>
        <w:tc>
          <w:tcPr>
            <w:tcW w:type="dxa" w:w="1234"/>
          </w:tcPr>
          <w:p>
            <w:pPr>
              <w:jc w:val="center"/>
            </w:pPr>
            <w:r>
              <w:rPr>
                <w:sz w:val="18"/>
              </w:rPr>
              <w:t>77.7 +/- 4.1</w:t>
            </w:r>
          </w:p>
        </w:tc>
        <w:tc>
          <w:tcPr>
            <w:tcW w:type="dxa" w:w="1234"/>
          </w:tcPr>
          <w:p>
            <w:pPr>
              <w:jc w:val="center"/>
            </w:pPr>
            <w:r>
              <w:rPr>
                <w:sz w:val="18"/>
              </w:rPr>
              <w:t>92.9 +/- 0.6</w:t>
            </w:r>
          </w:p>
        </w:tc>
        <w:tc>
          <w:tcPr>
            <w:tcW w:type="dxa" w:w="1234"/>
          </w:tcPr>
          <w:p>
            <w:pPr>
              <w:jc w:val="center"/>
            </w:pPr>
            <w:r>
              <w:rPr>
                <w:sz w:val="18"/>
              </w:rPr>
              <w:t>0.931 +/- 0.018</w:t>
            </w:r>
          </w:p>
        </w:tc>
        <w:tc>
          <w:tcPr>
            <w:tcW w:type="dxa" w:w="1234"/>
          </w:tcPr>
          <w:p>
            <w:pPr>
              <w:jc w:val="center"/>
            </w:pPr>
            <w:r>
              <w:rPr>
                <w:sz w:val="18"/>
              </w:rPr>
              <w:t>5</w:t>
            </w:r>
          </w:p>
        </w:tc>
      </w:tr>
      <w:tr>
        <w:tc>
          <w:tcPr>
            <w:tcW w:type="dxa" w:w="1234"/>
          </w:tcPr>
          <w:p>
            <w:pPr>
              <w:jc w:val="center"/>
            </w:pPr>
            <w:r>
              <w:rPr>
                <w:sz w:val="18"/>
              </w:rPr>
              <w:t>MLP Late Stack</w:t>
            </w:r>
          </w:p>
        </w:tc>
        <w:tc>
          <w:tcPr>
            <w:tcW w:type="dxa" w:w="1234"/>
          </w:tcPr>
          <w:p>
            <w:pPr>
              <w:jc w:val="center"/>
            </w:pPr>
            <w:r>
              <w:rPr>
                <w:sz w:val="18"/>
              </w:rPr>
              <w:t>88.4 +/- 1.1</w:t>
            </w:r>
          </w:p>
        </w:tc>
        <w:tc>
          <w:tcPr>
            <w:tcW w:type="dxa" w:w="1234"/>
          </w:tcPr>
          <w:p>
            <w:pPr>
              <w:jc w:val="center"/>
            </w:pPr>
            <w:r>
              <w:rPr>
                <w:sz w:val="18"/>
              </w:rPr>
              <w:t>81.6 +/- 1.1</w:t>
            </w:r>
          </w:p>
        </w:tc>
        <w:tc>
          <w:tcPr>
            <w:tcW w:type="dxa" w:w="1234"/>
          </w:tcPr>
          <w:p>
            <w:pPr>
              <w:jc w:val="center"/>
            </w:pPr>
            <w:r>
              <w:rPr>
                <w:sz w:val="18"/>
              </w:rPr>
              <w:t>69.6 +/- 4.0</w:t>
            </w:r>
          </w:p>
        </w:tc>
        <w:tc>
          <w:tcPr>
            <w:tcW w:type="dxa" w:w="1234"/>
          </w:tcPr>
          <w:p>
            <w:pPr>
              <w:jc w:val="center"/>
            </w:pPr>
            <w:r>
              <w:rPr>
                <w:sz w:val="18"/>
              </w:rPr>
              <w:t>93.6 +/- 2.3</w:t>
            </w:r>
          </w:p>
        </w:tc>
        <w:tc>
          <w:tcPr>
            <w:tcW w:type="dxa" w:w="1234"/>
          </w:tcPr>
          <w:p>
            <w:pPr>
              <w:jc w:val="center"/>
            </w:pPr>
            <w:r>
              <w:rPr>
                <w:sz w:val="18"/>
              </w:rPr>
              <w:t>0.910 +/- 0.030</w:t>
            </w:r>
          </w:p>
        </w:tc>
        <w:tc>
          <w:tcPr>
            <w:tcW w:type="dxa" w:w="1234"/>
          </w:tcPr>
          <w:p>
            <w:pPr>
              <w:jc w:val="center"/>
            </w:pPr>
            <w:r>
              <w:rPr>
                <w:sz w:val="18"/>
              </w:rPr>
              <w:t>5</w:t>
            </w:r>
          </w:p>
        </w:tc>
      </w:tr>
      <w:tr>
        <w:tc>
          <w:tcPr>
            <w:tcW w:type="dxa" w:w="1234"/>
          </w:tcPr>
          <w:p>
            <w:pPr>
              <w:jc w:val="center"/>
            </w:pPr>
            <w:r>
              <w:rPr>
                <w:sz w:val="18"/>
              </w:rPr>
              <w:t>MRI only</w:t>
            </w:r>
          </w:p>
        </w:tc>
        <w:tc>
          <w:tcPr>
            <w:tcW w:type="dxa" w:w="1234"/>
          </w:tcPr>
          <w:p>
            <w:pPr>
              <w:jc w:val="center"/>
            </w:pPr>
            <w:r>
              <w:rPr>
                <w:sz w:val="18"/>
              </w:rPr>
              <w:t>86.7 +/- 0.7</w:t>
            </w:r>
          </w:p>
        </w:tc>
        <w:tc>
          <w:tcPr>
            <w:tcW w:type="dxa" w:w="1234"/>
          </w:tcPr>
          <w:p>
            <w:pPr>
              <w:jc w:val="center"/>
            </w:pPr>
            <w:r>
              <w:rPr>
                <w:sz w:val="18"/>
              </w:rPr>
              <w:t>82.7 +/- 0.6</w:t>
            </w:r>
          </w:p>
        </w:tc>
        <w:tc>
          <w:tcPr>
            <w:tcW w:type="dxa" w:w="1234"/>
          </w:tcPr>
          <w:p>
            <w:pPr>
              <w:jc w:val="center"/>
            </w:pPr>
            <w:r>
              <w:rPr>
                <w:sz w:val="18"/>
              </w:rPr>
              <w:t>75.6 +/- 2.8</w:t>
            </w:r>
          </w:p>
        </w:tc>
        <w:tc>
          <w:tcPr>
            <w:tcW w:type="dxa" w:w="1234"/>
          </w:tcPr>
          <w:p>
            <w:pPr>
              <w:jc w:val="center"/>
            </w:pPr>
            <w:r>
              <w:rPr>
                <w:sz w:val="18"/>
              </w:rPr>
              <w:t>89.8 +/- 1.7</w:t>
            </w:r>
          </w:p>
        </w:tc>
        <w:tc>
          <w:tcPr>
            <w:tcW w:type="dxa" w:w="1234"/>
          </w:tcPr>
          <w:p>
            <w:pPr>
              <w:jc w:val="center"/>
            </w:pPr>
            <w:r>
              <w:rPr>
                <w:sz w:val="18"/>
              </w:rPr>
              <w:t>0.901 +/- 0.010</w:t>
            </w:r>
          </w:p>
        </w:tc>
        <w:tc>
          <w:tcPr>
            <w:tcW w:type="dxa" w:w="1234"/>
          </w:tcPr>
          <w:p>
            <w:pPr>
              <w:jc w:val="center"/>
            </w:pPr>
            <w:r>
              <w:rPr>
                <w:sz w:val="18"/>
              </w:rPr>
              <w:t>5</w:t>
            </w:r>
          </w:p>
        </w:tc>
      </w:tr>
    </w:tbl>
    <w:p/>
    <w:p>
      <w:pPr>
        <w:pStyle w:val="Heading1"/>
      </w:pPr>
      <w:r>
        <w:rPr>
          <w:color w:val="1A1A2E"/>
        </w:rPr>
        <w:t>2. DeLong Test — Pairwise AUC Comparison</w:t>
      </w:r>
    </w:p>
    <w:p>
      <w:r>
        <w:t>The DeLong test assesses whether AUC differences between models are statistically significant. The heatmap below shows pairwise p-values. Green cells indicate significant differences (p &lt; 0.05).</w:t>
      </w:r>
    </w:p>
    <w:p>
      <w:pPr>
        <w:jc w:val="center"/>
      </w:pPr>
      <w:r>
        <w:drawing>
          <wp:inline xmlns:a="http://schemas.openxmlformats.org/drawingml/2006/main" xmlns:pic="http://schemas.openxmlformats.org/drawingml/2006/picture">
            <wp:extent cx="5029200" cy="4617638"/>
            <wp:docPr id="1" name="Picture 1"/>
            <wp:cNvGraphicFramePr>
              <a:graphicFrameLocks noChangeAspect="1"/>
            </wp:cNvGraphicFramePr>
            <a:graphic>
              <a:graphicData uri="http://schemas.openxmlformats.org/drawingml/2006/picture">
                <pic:pic>
                  <pic:nvPicPr>
                    <pic:cNvPr id="0" name="delong_test.png"/>
                    <pic:cNvPicPr/>
                  </pic:nvPicPr>
                  <pic:blipFill>
                    <a:blip r:embed="rId9"/>
                    <a:stretch>
                      <a:fillRect/>
                    </a:stretch>
                  </pic:blipFill>
                  <pic:spPr>
                    <a:xfrm>
                      <a:off x="0" y="0"/>
                      <a:ext cx="5029200" cy="4617638"/>
                    </a:xfrm>
                    <a:prstGeom prst="rect"/>
                  </pic:spPr>
                </pic:pic>
              </a:graphicData>
            </a:graphic>
          </wp:inline>
        </w:drawing>
      </w:r>
    </w:p>
    <w:p>
      <w:r>
        <w:t>Key findings from DeLong test:</w:t>
      </w:r>
    </w:p>
    <w:p>
      <w:pPr>
        <w:pStyle w:val="ListBullet"/>
      </w:pPr>
      <w:r>
        <w:t>All fusion methods significantly outperform MRI-only (p &lt; 0.001), confirming the value of multimodal integration.</w:t>
      </w:r>
    </w:p>
    <w:p>
      <w:pPr>
        <w:pStyle w:val="ListBullet"/>
      </w:pPr>
      <w:r>
        <w:t>MLP Late Wt and XGB Late Wt achieve the highest AUCs (0.950 and 0.949) with no significant difference between them (p = 0.36).</w:t>
      </w:r>
    </w:p>
    <w:p>
      <w:pPr>
        <w:pStyle w:val="ListBullet"/>
      </w:pPr>
      <w:r>
        <w:t>Tabular-only models (XGB/MLP) significantly underperform the best fusion methods, showing that MRI adds discriminative information beyond clinical features.</w:t>
      </w:r>
    </w:p>
    <w:p>
      <w:pPr>
        <w:pStyle w:val="ListBullet"/>
      </w:pPr>
      <w:r>
        <w:t>MLP Late Stack is the weakest fusion method, significantly below all others.</w:t>
      </w:r>
    </w:p>
    <w:p>
      <w:pPr>
        <w:pStyle w:val="Heading1"/>
      </w:pPr>
      <w:r>
        <w:rPr>
          <w:color w:val="1A1A2E"/>
        </w:rPr>
        <w:t>3. ROC Curves</w:t>
      </w:r>
    </w:p>
    <w:p>
      <w:pPr>
        <w:jc w:val="center"/>
      </w:pPr>
      <w:r>
        <w:drawing>
          <wp:inline xmlns:a="http://schemas.openxmlformats.org/drawingml/2006/main" xmlns:pic="http://schemas.openxmlformats.org/drawingml/2006/picture">
            <wp:extent cx="5029200" cy="2143742"/>
            <wp:docPr id="2" name="Picture 2"/>
            <wp:cNvGraphicFramePr>
              <a:graphicFrameLocks noChangeAspect="1"/>
            </wp:cNvGraphicFramePr>
            <a:graphic>
              <a:graphicData uri="http://schemas.openxmlformats.org/drawingml/2006/picture">
                <pic:pic>
                  <pic:nvPicPr>
                    <pic:cNvPr id="0" name="roc_curves.png"/>
                    <pic:cNvPicPr/>
                  </pic:nvPicPr>
                  <pic:blipFill>
                    <a:blip r:embed="rId10"/>
                    <a:stretch>
                      <a:fillRect/>
                    </a:stretch>
                  </pic:blipFill>
                  <pic:spPr>
                    <a:xfrm>
                      <a:off x="0" y="0"/>
                      <a:ext cx="5029200" cy="2143742"/>
                    </a:xfrm>
                    <a:prstGeom prst="rect"/>
                  </pic:spPr>
                </pic:pic>
              </a:graphicData>
            </a:graphic>
          </wp:inline>
        </w:drawing>
      </w:r>
    </w:p>
    <w:p>
      <w:pPr>
        <w:pStyle w:val="Heading1"/>
      </w:pPr>
      <w:r>
        <w:rPr>
          <w:color w:val="1A1A2E"/>
        </w:rPr>
        <w:t>4. Interpretability — Integrated Gradients</w:t>
      </w:r>
    </w:p>
    <w:p>
      <w:r>
        <w:t>Integrated Gradients (Sundararajan et al., 2017) provides voxel-level attribution maps at full input resolution (128x128x128). Unlike GradCAM which is limited by feature map resolution (~4x4x4), Integrated Gradients computes attributions directly in input space by integrating gradients along a path from a zero baseline to the input. This yields precise localization of brain regions driving the model's decision.</w:t>
      </w:r>
    </w:p>
    <w:p>
      <w:pPr>
        <w:pStyle w:val="Heading2"/>
      </w:pPr>
      <w:r>
        <w:rPr>
          <w:color w:val="1A1A2E"/>
        </w:rPr>
        <w:t>4.1 Example: Alzheimer's Disease Patient</w:t>
      </w:r>
    </w:p>
    <w:p>
      <w:r>
        <w:t>High-confidence AD prediction (p(AD) = 0.997). Bright regions indicate voxels with high attribution for the AD prediction. Activations are concentrated in the medial temporal lobe (hippocampus, entorhinal cortex), consistent with known patterns of AD-related neurodegeneration.</w:t>
      </w:r>
    </w:p>
    <w:p>
      <w:pPr>
        <w:jc w:val="center"/>
      </w:pPr>
      <w:r>
        <w:drawing>
          <wp:inline xmlns:a="http://schemas.openxmlformats.org/drawingml/2006/main" xmlns:pic="http://schemas.openxmlformats.org/drawingml/2006/picture">
            <wp:extent cx="5029200" cy="1678514"/>
            <wp:docPr id="3" name="Picture 3"/>
            <wp:cNvGraphicFramePr>
              <a:graphicFrameLocks noChangeAspect="1"/>
            </wp:cNvGraphicFramePr>
            <a:graphic>
              <a:graphicData uri="http://schemas.openxmlformats.org/drawingml/2006/picture">
                <pic:pic>
                  <pic:nvPicPr>
                    <pic:cNvPr id="0" name="AD_01.png"/>
                    <pic:cNvPicPr/>
                  </pic:nvPicPr>
                  <pic:blipFill>
                    <a:blip r:embed="rId11"/>
                    <a:stretch>
                      <a:fillRect/>
                    </a:stretch>
                  </pic:blipFill>
                  <pic:spPr>
                    <a:xfrm>
                      <a:off x="0" y="0"/>
                      <a:ext cx="5029200" cy="1678514"/>
                    </a:xfrm>
                    <a:prstGeom prst="rect"/>
                  </pic:spPr>
                </pic:pic>
              </a:graphicData>
            </a:graphic>
          </wp:inline>
        </w:drawing>
      </w:r>
    </w:p>
    <w:p>
      <w:pPr>
        <w:pStyle w:val="Caption"/>
      </w:pPr>
      <w:r>
        <w:t>Figure: Integrated Gradients — AD patient (MLP Early Fusion, seed 2)</w:t>
      </w:r>
    </w:p>
    <w:p>
      <w:pPr>
        <w:pStyle w:val="Heading2"/>
      </w:pPr>
      <w:r>
        <w:rPr>
          <w:color w:val="1A1A2E"/>
        </w:rPr>
        <w:t>4.2 Example: Cognitively Normal Patient</w:t>
      </w:r>
    </w:p>
    <w:p>
      <w:r>
        <w:t>High-confidence CN prediction (p(AD) = 0.003). Attribution pattern is more diffuse and distributed across cortical regions, with less concentration in medial temporal structures. This suggests the model recognizes the structural integrity of hippocampal and temporal regions as indicative of normal cognition.</w:t>
      </w:r>
    </w:p>
    <w:p>
      <w:pPr>
        <w:jc w:val="center"/>
      </w:pPr>
      <w:r>
        <w:drawing>
          <wp:inline xmlns:a="http://schemas.openxmlformats.org/drawingml/2006/main" xmlns:pic="http://schemas.openxmlformats.org/drawingml/2006/picture">
            <wp:extent cx="5029200" cy="1678514"/>
            <wp:docPr id="4" name="Picture 4"/>
            <wp:cNvGraphicFramePr>
              <a:graphicFrameLocks noChangeAspect="1"/>
            </wp:cNvGraphicFramePr>
            <a:graphic>
              <a:graphicData uri="http://schemas.openxmlformats.org/drawingml/2006/picture">
                <pic:pic>
                  <pic:nvPicPr>
                    <pic:cNvPr id="0" name="CN_01.png"/>
                    <pic:cNvPicPr/>
                  </pic:nvPicPr>
                  <pic:blipFill>
                    <a:blip r:embed="rId12"/>
                    <a:stretch>
                      <a:fillRect/>
                    </a:stretch>
                  </pic:blipFill>
                  <pic:spPr>
                    <a:xfrm>
                      <a:off x="0" y="0"/>
                      <a:ext cx="5029200" cy="1678514"/>
                    </a:xfrm>
                    <a:prstGeom prst="rect"/>
                  </pic:spPr>
                </pic:pic>
              </a:graphicData>
            </a:graphic>
          </wp:inline>
        </w:drawing>
      </w:r>
    </w:p>
    <w:p>
      <w:pPr>
        <w:pStyle w:val="Caption"/>
      </w:pPr>
      <w:r>
        <w:t>Figure: Integrated Gradients — CN patient (MLP Early Fusion, seed 2)</w:t>
      </w:r>
    </w:p>
    <w:p>
      <w:pPr>
        <w:pStyle w:val="Heading1"/>
      </w:pPr>
      <w:r>
        <w:rPr>
          <w:color w:val="1A1A2E"/>
        </w:rPr>
        <w:t>5. Interpretability Folder Contents</w:t>
      </w:r>
    </w:p>
    <w:p>
      <w:r>
        <w:t>The accompanying interpretability/ folder contains Integrated Gradients visualizations for all 4 models, computed on the same 5 AD and 5 CN patients for direct comparison. The structure is as follows:</w:t>
      </w:r>
    </w:p>
    <w:p>
      <w:pPr>
        <w:pStyle w:val="ListBullet"/>
      </w:pPr>
      <w:r>
        <w:rPr>
          <w:b/>
          <w:sz w:val="20"/>
        </w:rPr>
        <w:t xml:space="preserve">mlp_early_fusion/ </w:t>
      </w:r>
      <w:r>
        <w:rPr>
          <w:sz w:val="20"/>
        </w:rPr>
        <w:t>Integrated Gradients for the MLP Early Fusion model (ResNet3D + Tabular MLP, end-to-end). Contains AD_01..05.png, CN_01..05.png (individual patient maps, 3 views each) and grid_mlp_early_fusion.png (all 10 patients).</w:t>
      </w:r>
    </w:p>
    <w:p>
      <w:pPr>
        <w:pStyle w:val="ListBullet"/>
      </w:pPr>
      <w:r>
        <w:rPr>
          <w:b/>
          <w:sz w:val="20"/>
        </w:rPr>
        <w:t xml:space="preserve">mlp_late_fusion/ </w:t>
      </w:r>
      <w:r>
        <w:rPr>
          <w:sz w:val="20"/>
        </w:rPr>
        <w:t>Same for MLP Late Fusion (ResNet3D MRI branch only, trained separately from tabular MLP). Shows what the MRI-only branch focuses on.</w:t>
      </w:r>
    </w:p>
    <w:p>
      <w:pPr>
        <w:pStyle w:val="ListBullet"/>
      </w:pPr>
      <w:r>
        <w:rPr>
          <w:b/>
          <w:sz w:val="20"/>
        </w:rPr>
        <w:t xml:space="preserve">xgb_early_fusion/ </w:t>
      </w:r>
      <w:r>
        <w:rPr>
          <w:sz w:val="20"/>
        </w:rPr>
        <w:t>Same for XGBoost Early Fusion (finetuned ResNet3D backbone, features fed to XGBoost). IG computed through the CNN backbone.</w:t>
      </w:r>
    </w:p>
    <w:p>
      <w:pPr>
        <w:pStyle w:val="ListBullet"/>
      </w:pPr>
      <w:r>
        <w:rPr>
          <w:b/>
          <w:sz w:val="20"/>
        </w:rPr>
        <w:t xml:space="preserve">xgb_late_fusion/ </w:t>
      </w:r>
      <w:r>
        <w:rPr>
          <w:sz w:val="20"/>
        </w:rPr>
        <w:t>Same for XGBoost Late Fusion (ResNet3D MRI branch, separate XGBoost on tabular). Shows MRI branch attributions.</w:t>
      </w:r>
    </w:p>
    <w:p>
      <w:pPr>
        <w:pStyle w:val="ListBullet"/>
      </w:pPr>
      <w:r>
        <w:rPr>
          <w:b/>
          <w:sz w:val="20"/>
        </w:rPr>
        <w:t xml:space="preserve">cross_model_comparison.png </w:t>
      </w:r>
      <w:r>
        <w:rPr>
          <w:sz w:val="20"/>
        </w:rPr>
        <w:t>Summary grid: 10 patients (rows) x 4 models (columns), axial view. Allows direct comparison of what each model attends to on the same brain.</w:t>
      </w:r>
    </w:p>
    <w:p>
      <w:pPr>
        <w:pStyle w:val="ListBullet"/>
      </w:pPr>
      <w:r>
        <w:rPr>
          <w:b/>
          <w:sz w:val="20"/>
        </w:rPr>
        <w:t xml:space="preserve">group_average_AD.png </w:t>
      </w:r>
      <w:r>
        <w:rPr>
          <w:sz w:val="20"/>
        </w:rPr>
        <w:t>Average attribution map across 50 correctly classified AD patients. Highlights consistently important regions for AD prediction.</w:t>
      </w:r>
    </w:p>
    <w:p>
      <w:pPr>
        <w:pStyle w:val="ListBullet"/>
      </w:pPr>
      <w:r>
        <w:rPr>
          <w:b/>
          <w:sz w:val="20"/>
        </w:rPr>
        <w:t xml:space="preserve">group_average_CN.png </w:t>
      </w:r>
      <w:r>
        <w:rPr>
          <w:sz w:val="20"/>
        </w:rPr>
        <w:t>Average attribution map across 50 correctly classified CN patients.</w:t>
      </w:r>
    </w:p>
    <w:p>
      <w:pPr>
        <w:pStyle w:val="ListBullet"/>
      </w:pPr>
      <w:r>
        <w:rPr>
          <w:b/>
          <w:sz w:val="20"/>
        </w:rPr>
        <w:t xml:space="preserve">group_difference_AD_minus_CN.png </w:t>
      </w:r>
      <w:r>
        <w:rPr>
          <w:sz w:val="20"/>
        </w:rPr>
        <w:t>Differential attribution map (AD average minus CN average). Red = more important for AD (medial temporal lobe), Blue = more important for CN (frontal/parietal). This is the most informative figure for understanding model behavior.</w:t>
      </w:r>
    </w:p>
    <w:p>
      <w:pPr>
        <w:pStyle w:val="ListBullet"/>
      </w:pPr>
      <w:r>
        <w:rPr>
          <w:b/>
          <w:sz w:val="20"/>
        </w:rPr>
        <w:t xml:space="preserve">summary_figure.png </w:t>
      </w:r>
      <w:r>
        <w:rPr>
          <w:sz w:val="20"/>
        </w:rPr>
        <w:t>Paper-ready figure combining individual examples, group average, and difference map.</w:t>
      </w:r>
    </w:p>
    <w:p>
      <w:pPr>
        <w:pStyle w:val="ListBullet"/>
      </w:pPr>
      <w:r>
        <w:rPr>
          <w:b/>
          <w:sz w:val="20"/>
        </w:rPr>
        <w:t xml:space="preserve">*.npy files </w:t>
      </w:r>
      <w:r>
        <w:rPr>
          <w:sz w:val="20"/>
        </w:rPr>
        <w:t>Raw numpy arrays of group averages and difference maps for further analysis or custom visualization.</w:t>
      </w:r>
    </w:p>
    <w:p>
      <w:r>
        <w:t>All attribution maps were computed using Integrated Gradients with 100 interpolation steps and a zero baseline, from the best-performing seed (seed 2, AUC = 0.954). The same 5 AD and 5 CN patients (selected by prediction confidence) are used across all 4 models to enable direct comparison.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