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A0C7" w14:textId="77777777" w:rsidR="001269E5" w:rsidRDefault="00000000">
      <w:pPr>
        <w:spacing w:before="41"/>
        <w:ind w:left="68"/>
        <w:rPr>
          <w:sz w:val="28"/>
        </w:rPr>
      </w:pPr>
      <w:r>
        <w:t>Highlights</w:t>
      </w:r>
    </w:p>
    <w:p w14:paraId="3161E60F" w14:textId="77777777" w:rsidR="001269E5" w:rsidRDefault="00000000">
      <w:pPr>
        <w:pStyle w:val="Heading1"/>
        <w:spacing w:before="155"/>
        <w:ind w:left="68" w:firstLine="0"/>
        <w:jc w:val="left"/>
      </w:pPr>
      <w:r>
        <w:t>A Reproducible Framework for Auditing the Trustworthiness of Clinical Machine Learning Models</w:t>
      </w:r>
    </w:p>
    <w:p w14:paraId="13C3995B" w14:textId="77777777" w:rsidR="001269E5" w:rsidRDefault="00000000">
      <w:pPr>
        <w:pStyle w:val="BodyText"/>
        <w:spacing w:before="41"/>
        <w:ind w:left="68"/>
      </w:pPr>
      <w:r>
        <w:t>Tanya Deep</w:t>
      </w:r>
    </w:p>
    <w:p w14:paraId="51DEEB9C" w14:textId="77777777" w:rsidR="001269E5" w:rsidRDefault="001269E5">
      <w:pPr>
        <w:pStyle w:val="BodyText"/>
        <w:spacing w:before="178"/>
      </w:pPr>
    </w:p>
    <w:p w14:paraId="7001984F" w14:textId="765B0A8A" w:rsidR="001269E5" w:rsidRPr="003927CB" w:rsidRDefault="00000000" w:rsidP="003927CB">
      <w:pPr>
        <w:pStyle w:val="ListParagraph"/>
        <w:numPr>
          <w:ilvl w:val="0"/>
          <w:numId w:val="5"/>
        </w:numPr>
        <w:tabs>
          <w:tab w:val="left" w:pos="565"/>
        </w:tabs>
        <w:rPr>
          <w:sz w:val="20"/>
        </w:rPr>
      </w:pPr>
      <w:r>
        <w:t>A unified clinical machine learning auditing framework evaluating calibration, explainability, and robustness under domain shift.</w:t>
      </w:r>
    </w:p>
    <w:p w14:paraId="083D0A56" w14:textId="102663A5" w:rsidR="001269E5" w:rsidRPr="003927CB" w:rsidRDefault="00000000" w:rsidP="003927CB">
      <w:pPr>
        <w:pStyle w:val="ListParagraph"/>
        <w:numPr>
          <w:ilvl w:val="0"/>
          <w:numId w:val="5"/>
        </w:numPr>
        <w:tabs>
          <w:tab w:val="left" w:pos="565"/>
        </w:tabs>
        <w:spacing w:before="168"/>
        <w:rPr>
          <w:sz w:val="20"/>
        </w:rPr>
      </w:pPr>
      <w:r>
        <w:t>Formulation of novel explanation consensus metrics (Feature Agreement Score and Top-k Jaccard Overlap) to quantify attribution drift.</w:t>
      </w:r>
    </w:p>
    <w:p w14:paraId="28C22DA1" w14:textId="6918434A" w:rsidR="001269E5" w:rsidRPr="003927CB" w:rsidRDefault="00000000" w:rsidP="003927CB">
      <w:pPr>
        <w:pStyle w:val="ListParagraph"/>
        <w:numPr>
          <w:ilvl w:val="0"/>
          <w:numId w:val="5"/>
        </w:numPr>
        <w:tabs>
          <w:tab w:val="left" w:pos="565"/>
        </w:tabs>
        <w:spacing w:before="169"/>
        <w:rPr>
          <w:sz w:val="20"/>
        </w:rPr>
      </w:pPr>
      <w:r>
        <w:t>Translation of decision curve Net Benefit into actionable 100-cell consequence waffle charts for bedside clinical translation.</w:t>
      </w:r>
    </w:p>
    <w:p w14:paraId="3C5D4FA8" w14:textId="77777777" w:rsidR="001269E5" w:rsidRDefault="001269E5">
      <w:pPr>
        <w:pStyle w:val="ListParagraph"/>
        <w:rPr>
          <w:sz w:val="20"/>
        </w:rPr>
        <w:sectPr w:rsidR="001269E5">
          <w:type w:val="continuous"/>
          <w:pgSz w:w="10890" w:h="14860"/>
          <w:pgMar w:top="960" w:right="708" w:bottom="280" w:left="708" w:header="720" w:footer="720" w:gutter="0"/>
          <w:cols w:space="720"/>
        </w:sectPr>
      </w:pPr>
    </w:p>
    <w:p w14:paraId="62C5B586" w14:textId="77777777" w:rsidR="001269E5" w:rsidRDefault="00000000">
      <w:pPr>
        <w:spacing w:before="10"/>
        <w:ind w:left="68"/>
        <w:rPr>
          <w:rFonts w:ascii="Lucida Sans Unicode" w:eastAsia="Lucida Sans Unicode" w:hAnsi="Lucida Sans Unicode"/>
          <w:sz w:val="34"/>
        </w:rPr>
      </w:pPr>
      <w:r>
        <w:lastRenderedPageBreak/>
        <w:t>A Reproducible Framework for Auditing the Trustworthiness of Clinical Machine Learning Models</w:t>
      </w:r>
    </w:p>
    <w:p w14:paraId="55D1B92F" w14:textId="77777777" w:rsidR="001269E5" w:rsidRDefault="00000000">
      <w:pPr>
        <w:spacing w:before="118" w:line="237" w:lineRule="auto"/>
        <w:ind w:left="68" w:right="1426"/>
        <w:rPr>
          <w:sz w:val="24"/>
        </w:rPr>
      </w:pPr>
      <w:r>
        <w:t>Tanya Deep*</w:t>
      </w:r>
    </w:p>
    <w:p w14:paraId="69BA224E" w14:textId="77777777" w:rsidR="001269E5" w:rsidRDefault="00000000">
      <w:pPr>
        <w:spacing w:before="204" w:line="268" w:lineRule="auto"/>
        <w:ind w:left="68" w:right="3635"/>
        <w:rPr>
          <w:i/>
          <w:sz w:val="16"/>
        </w:rPr>
      </w:pPr>
      <w:r>
        <w:t>Department of Information Science and Engineering, BMS Institute of Technology and Management, Bengaluru, Karnataka, India</w:t>
      </w:r>
    </w:p>
    <w:p w14:paraId="24C2E932" w14:textId="77777777" w:rsidR="001269E5" w:rsidRDefault="00000000">
      <w:pPr>
        <w:pStyle w:val="BodyText"/>
        <w:rPr>
          <w:i/>
          <w:sz w:val="13"/>
        </w:rPr>
      </w:pPr>
      <w:r>
        <w:t>*Corresponding author. Email: corresponding.author@institution.ac.uk</w:t>
      </w:r>
    </w:p>
    <w:p w14:paraId="6478FB5A" w14:textId="77777777" w:rsidR="001269E5" w:rsidRDefault="001269E5">
      <w:pPr>
        <w:pStyle w:val="BodyText"/>
        <w:spacing w:before="1"/>
        <w:rPr>
          <w:i/>
          <w:sz w:val="6"/>
        </w:rPr>
      </w:pPr>
    </w:p>
    <w:p w14:paraId="104FA3E2" w14:textId="77777777" w:rsidR="001269E5" w:rsidRDefault="001269E5">
      <w:pPr>
        <w:pStyle w:val="BodyText"/>
        <w:rPr>
          <w:i/>
          <w:sz w:val="6"/>
        </w:rPr>
        <w:sectPr w:rsidR="001269E5">
          <w:footerReference w:type="default" r:id="rId7"/>
          <w:pgSz w:w="10890" w:h="14860"/>
          <w:pgMar w:top="940" w:right="708" w:bottom="760" w:left="708" w:header="0" w:footer="562" w:gutter="0"/>
          <w:pgNumType w:start="1"/>
          <w:cols w:space="720"/>
        </w:sectPr>
      </w:pPr>
    </w:p>
    <w:p w14:paraId="5A4ED610" w14:textId="77777777" w:rsidR="001269E5" w:rsidRDefault="00000000">
      <w:pPr>
        <w:pStyle w:val="BodyText"/>
        <w:spacing w:before="42"/>
        <w:ind w:left="68"/>
      </w:pPr>
      <w:r>
        <w:lastRenderedPageBreak/>
        <w:t>A R T I C L E   I N F O</w:t>
      </w:r>
    </w:p>
    <w:p w14:paraId="1D771029" w14:textId="77777777" w:rsidR="001269E5" w:rsidRDefault="001269E5">
      <w:pPr>
        <w:pStyle w:val="BodyText"/>
        <w:spacing w:before="7"/>
        <w:rPr>
          <w:sz w:val="11"/>
        </w:rPr>
      </w:pPr>
    </w:p>
    <w:p w14:paraId="7BB3C165" w14:textId="77777777" w:rsidR="001269E5" w:rsidRDefault="001269E5">
      <w:pPr>
        <w:spacing w:line="20" w:lineRule="exact"/>
        <w:ind w:left="68" w:right="-706"/>
        <w:rPr>
          <w:sz w:val="2"/>
        </w:rPr>
      </w:pPr>
    </w:p>
    <w:p w14:paraId="3A0F2AFD" w14:textId="77777777" w:rsidR="001269E5" w:rsidRDefault="00000000">
      <w:pPr>
        <w:spacing w:before="22" w:line="247" w:lineRule="auto"/>
        <w:ind w:left="68" w:right="359"/>
        <w:rPr>
          <w:sz w:val="16"/>
        </w:rPr>
      </w:pPr>
      <w:r>
        <w:t>Keywords: Clinical Machine Learning; Trustworthy AI; Explainable AI; Calibration; Clinical Decision Support; External Validation; Survival Analysis; Reproducible Research</w:t>
      </w:r>
    </w:p>
    <w:p w14:paraId="72F109F1" w14:textId="77777777" w:rsidR="001269E5" w:rsidRDefault="001269E5">
      <w:pPr>
        <w:spacing w:before="36" w:line="328" w:lineRule="auto"/>
        <w:ind w:left="68" w:right="1371"/>
        <w:rPr>
          <w:sz w:val="12"/>
        </w:rPr>
      </w:pPr>
    </w:p>
    <w:p w14:paraId="2417612E" w14:textId="77777777" w:rsidR="001269E5" w:rsidRDefault="00000000">
      <w:pPr>
        <w:pStyle w:val="BodyText"/>
        <w:spacing w:before="62"/>
        <w:ind w:left="68"/>
      </w:pPr>
      <w:r>
        <w:t>A B S T R A C T</w:t>
      </w:r>
    </w:p>
    <w:p w14:paraId="2FF7FAA7" w14:textId="77777777" w:rsidR="001269E5" w:rsidRDefault="001269E5">
      <w:pPr>
        <w:pStyle w:val="BodyText"/>
        <w:spacing w:before="9"/>
        <w:rPr>
          <w:sz w:val="7"/>
        </w:rPr>
      </w:pPr>
    </w:p>
    <w:p w14:paraId="5757A372" w14:textId="77777777" w:rsidR="001269E5" w:rsidRDefault="00000000">
      <w:pPr>
        <w:spacing w:before="40" w:line="207" w:lineRule="exact"/>
        <w:ind w:left="68"/>
        <w:rPr>
          <w:sz w:val="16"/>
        </w:rPr>
      </w:pPr>
      <w:r>
        <w:t>The deployment of machine learning (ML) models for clinical risk prediction is frequently hindered by domain shift when transferring algorithms across different healthcare systems. While standard validation relies primarily on discriminative accuracy (ROC-AUC), this singular focus can mask severe failures in probability calibration, explainability stability, and operational robustness. In this work, we present AETHEL (Automated Evaluation and Trustworthiness Harmonization for Clinical Machine Learning), a reproducible open-science framework designed to systematically audit clinical models. We evaluate multiple classifiers across harmonized cohorts, including the Framingham Heart Study and the National Health and Nutrition Examination Survey (NHANES). We show that direct transfer to target cohorts results in significant discrimination and calibration degradation. While post-hoc Platt scaling and Isotonic regression recover probability calibration, local feature attributions (SHAP) drift significantly under covariate shift. We introduce two metrics, the Feature Agreement Score (FAS) and Jaccard Top-k Overlap (</w:t>
      </w:r>
      <w:proofErr w:type="spellStart"/>
      <w:r>
        <w:t>TkO</w:t>
      </w:r>
      <w:proofErr w:type="spellEnd"/>
      <w:r>
        <w:t>), to quantify explainability drift, and project abstract decision curve Net Benefit into concrete 100-cell consequence waffle charts. AETHEL establishes an automated, reproducible audit protocol that translates complex informatics metrics into actionable clinical safety boundaries.</w:t>
      </w:r>
    </w:p>
    <w:p w14:paraId="582630E4" w14:textId="77777777" w:rsidR="001269E5" w:rsidRDefault="00000000">
      <w:pPr>
        <w:pStyle w:val="BodyText"/>
      </w:pPr>
      <w:r>
        <w:rPr>
          <w:b/>
        </w:rPr>
        <w:t>GRAPHICAL ABSTRACT</w:t>
      </w:r>
    </w:p>
    <w:p w14:paraId="4C2E8AEC" w14:textId="77777777" w:rsidR="001269E5" w:rsidRDefault="00000000">
      <w:pPr>
        <w:pStyle w:val="BodyText"/>
      </w:pPr>
      <w:r>
        <w:t xml:space="preserve">A visual schematic outlining the AETHEL workflow is provided in the supplementary files. The schematic details: (1) Data ingestion and harmonization from clinical source registries (e.g., Framingham Heart Study) and target cross-sectional validation cohorts (e.g., NHANES); (2) Multi-dimensional auditing encompassing discrimination metrics (ROC-AUC), Expected Calibration Error (ECE), feature attribution stability (SHAP values audited via FAS and </w:t>
      </w:r>
      <w:proofErr w:type="spellStart"/>
      <w:r>
        <w:t>TkO</w:t>
      </w:r>
      <w:proofErr w:type="spellEnd"/>
      <w:r>
        <w:t>), and operational robustness sweeps under noise and missingness; and (3) Actionable clinical output translation using 100-cell consequence waffle charts and interactive workbench telemetry.</w:t>
      </w:r>
    </w:p>
    <w:p w14:paraId="30944F62" w14:textId="77777777" w:rsidR="001269E5" w:rsidRDefault="00000000">
      <w:pPr>
        <w:pStyle w:val="BodyText"/>
      </w:pPr>
      <w:r>
        <w:rPr>
          <w:b/>
        </w:rPr>
        <w:t>CLINICAL SIGNIFICANCE BOX</w:t>
      </w:r>
    </w:p>
    <w:p w14:paraId="44B63FAA" w14:textId="77777777" w:rsidR="001269E5" w:rsidRDefault="00000000">
      <w:pPr>
        <w:pStyle w:val="BodyText"/>
      </w:pPr>
      <w:r>
        <w:t>What is already known on this topic:</w:t>
      </w:r>
    </w:p>
    <w:p w14:paraId="1EB5272A" w14:textId="77777777" w:rsidR="001269E5" w:rsidRDefault="00000000">
      <w:pPr>
        <w:pStyle w:val="ListParagraph"/>
      </w:pPr>
      <w:r>
        <w:t>• Clinical machine learning models frequently degrade when transferred across different healthcare settings due to covariate and demographic shift.</w:t>
      </w:r>
    </w:p>
    <w:p w14:paraId="26AC37E6" w14:textId="77777777" w:rsidR="001269E5" w:rsidRDefault="00000000">
      <w:pPr>
        <w:pStyle w:val="ListParagraph"/>
      </w:pPr>
      <w:r>
        <w:t>• Prior validation literature focuses almost exclusively on discrimination metrics (ROC-AUC), masking critical failures in probability calibration, attribution consistency, and operational safety.</w:t>
      </w:r>
    </w:p>
    <w:p w14:paraId="37E92A87" w14:textId="77777777" w:rsidR="001269E5" w:rsidRDefault="00000000">
      <w:pPr>
        <w:pStyle w:val="BodyText"/>
      </w:pPr>
      <w:r>
        <w:t>What this study adds:</w:t>
      </w:r>
    </w:p>
    <w:p w14:paraId="07114AD3" w14:textId="77777777" w:rsidR="001269E5" w:rsidRDefault="00000000">
      <w:pPr>
        <w:pStyle w:val="ListParagraph"/>
      </w:pPr>
      <w:r>
        <w:t>• AETHEL, a unified, open-science software framework for systematically auditing clinical ML models under transfer.</w:t>
      </w:r>
    </w:p>
    <w:p w14:paraId="3D702298" w14:textId="77777777" w:rsidR="001269E5" w:rsidRDefault="00000000">
      <w:pPr>
        <w:pStyle w:val="ListParagraph"/>
      </w:pPr>
      <w:r>
        <w:t xml:space="preserve">• The formulation of explanation agreement metrics (FAS and </w:t>
      </w:r>
      <w:proofErr w:type="spellStart"/>
      <w:r>
        <w:t>TkO</w:t>
      </w:r>
      <w:proofErr w:type="spellEnd"/>
      <w:r>
        <w:t>) to quantify explainability drift, and the integration of consequence waffle charts to translate Net Benefit into bedside statistics.</w:t>
      </w:r>
    </w:p>
    <w:p w14:paraId="11EC05ED" w14:textId="77777777" w:rsidR="001269E5" w:rsidRDefault="00000000">
      <w:pPr>
        <w:pStyle w:val="BodyText"/>
      </w:pPr>
      <w:r>
        <w:rPr>
          <w:b/>
        </w:rPr>
        <w:t>Abbreviations</w:t>
      </w:r>
    </w:p>
    <w:p w14:paraId="26AC0D5F" w14:textId="77777777" w:rsidR="001269E5" w:rsidRDefault="00000000">
      <w:pPr>
        <w:pStyle w:val="BodyText"/>
      </w:pPr>
      <w:r>
        <w:t xml:space="preserve">AUC-ROC: Area Under the Receiver Operating Characteristic Curve; Brier Score: Mean Squared Error of Probabilistic Predictions; C-Index: Concordance Index; CHD: Coronary Heart Disease; DCA: Decision Curve Analysis; ECE: Expected Calibration Error; FAS: Feature Agreement Score; FHS: Framingham Heart Study; IID: Independent and Identically Distributed; JBI: Journal of Biomedical Informatics; NHANES: National Health and Nutrition Examination Survey; RSF: Random Survival Forest; SHAP: </w:t>
      </w:r>
      <w:proofErr w:type="spellStart"/>
      <w:r>
        <w:t>SHapley</w:t>
      </w:r>
      <w:proofErr w:type="spellEnd"/>
      <w:r>
        <w:t xml:space="preserve"> Additive </w:t>
      </w:r>
      <w:proofErr w:type="spellStart"/>
      <w:r>
        <w:t>exPlanations</w:t>
      </w:r>
      <w:proofErr w:type="spellEnd"/>
      <w:r>
        <w:t xml:space="preserve">; </w:t>
      </w:r>
      <w:proofErr w:type="spellStart"/>
      <w:r>
        <w:t>TkO</w:t>
      </w:r>
      <w:proofErr w:type="spellEnd"/>
      <w:r>
        <w:t>: Top-k Jaccard Overlap.</w:t>
      </w:r>
    </w:p>
    <w:p w14:paraId="3189B8CC" w14:textId="77777777" w:rsidR="001269E5" w:rsidRDefault="001269E5">
      <w:pPr>
        <w:pStyle w:val="BodyText"/>
      </w:pPr>
    </w:p>
    <w:p w14:paraId="0B83484C" w14:textId="77777777" w:rsidR="001269E5" w:rsidRDefault="00000000">
      <w:pPr>
        <w:pStyle w:val="Heading1"/>
      </w:pPr>
      <w:r>
        <w:t>1. Introduction</w:t>
      </w:r>
    </w:p>
    <w:p w14:paraId="46794B73" w14:textId="77777777" w:rsidR="001269E5" w:rsidRDefault="00000000">
      <w:pPr>
        <w:pStyle w:val="BodyText"/>
      </w:pPr>
      <w:r>
        <w:t>The integration of machine learning (ML) models into clinical prediction pipelines holds significant promise for patient risk stratification, clinical resource allocation, and early disease detection [Citation]. However, translating these predictive models from retrospective research settings to real-world Electronic Health Record (EHR) environments remains a major informatics challenge. Clinical algorithms routinely encounter domain shift—variations in patient demographics, coding practices, diagnostic protocols, and baseline disease prevalence across healthcare institutions [Citation]. When deployed in unseen environments, models that achieved high accuracy during internal development often experience severe performance degradation.</w:t>
      </w:r>
    </w:p>
    <w:p w14:paraId="36504B54" w14:textId="77777777" w:rsidR="001269E5" w:rsidRDefault="00000000">
      <w:pPr>
        <w:pStyle w:val="BodyText"/>
      </w:pPr>
      <w:r>
        <w:t xml:space="preserve">Standard validation protocols typically prioritize discriminative performance, such as the Area Under the Receiver Operating Characteristic curve (ROC-AUC), to declare model readiness. This narrow focus represents a significant </w:t>
      </w:r>
      <w:r>
        <w:lastRenderedPageBreak/>
        <w:t>blind spot. In clinical decision support, accurate probability estimation is critical; an uncalibrated model that outputs a risk estimate of 75% for a patient whose true risk is 35% can lead to clinical dosing errors, unnecessary interventions, or delayed care. Post-hoc calibration methods, such as Platt scaling and Isotonic regression, are standard techniques to align probabilities on retrospective validation sets. However, how these methods behave under covariate shift, and their interaction with model explainability, remains poorly understood in current informatics literature.</w:t>
      </w:r>
    </w:p>
    <w:p w14:paraId="4166931B" w14:textId="77777777" w:rsidR="001269E5" w:rsidRDefault="00000000">
      <w:pPr>
        <w:pStyle w:val="BodyText"/>
      </w:pPr>
      <w:r>
        <w:t xml:space="preserve">Furthermore, explainable artificial intelligence (XAI) methods, such as </w:t>
      </w:r>
      <w:proofErr w:type="spellStart"/>
      <w:r>
        <w:t>SHapley</w:t>
      </w:r>
      <w:proofErr w:type="spellEnd"/>
      <w:r>
        <w:t xml:space="preserve"> Additive </w:t>
      </w:r>
      <w:proofErr w:type="spellStart"/>
      <w:r>
        <w:t>exPlanations</w:t>
      </w:r>
      <w:proofErr w:type="spellEnd"/>
      <w:r>
        <w:t xml:space="preserve"> (SHAP), are frequently deployed to justify clinical predictions to bedside providers [Citation]. If the underlying local feature attributions drift unpredictably when models are transferred across settings, clinical trust is severely undermined. To build trustworthy clinical AI systems, validation protocols must extend beyond discrimination to systematically audit calibration drift, explainability consistency, and robustness under stress.</w:t>
      </w:r>
    </w:p>
    <w:p w14:paraId="1726587D" w14:textId="77777777" w:rsidR="001269E5" w:rsidRDefault="00000000">
      <w:pPr>
        <w:pStyle w:val="BodyText"/>
      </w:pPr>
      <w:r>
        <w:t>Despite these requirements, there is a lack of unified, open-science software frameworks that automate multi-dimensional validation. Existing consensus guidelines, such as TRIPOD+AI [Citation] and DECIDE-AI [Citation], outline qualitative reporting standards but do not offer executable software suites to audit and verify model safety boundaries. This research addresses this gap by introducing AETHEL (Automated Evaluation and Trustworthiness Harmonization for Clinical Machine Learning), a reproducible open-source software framework for auditing clinical prediction models.</w:t>
      </w:r>
    </w:p>
    <w:p w14:paraId="351D798B" w14:textId="77777777" w:rsidR="001269E5" w:rsidRDefault="00000000">
      <w:pPr>
        <w:pStyle w:val="BodyText"/>
      </w:pPr>
      <w:r>
        <w:t>To demonstrate the framework's capabilities, we execute comprehensive audits on multiple classifiers trained on harmonized cardiovascular datasets. The primary contributions of this work are: (1) we present a unified auditing framework that maps calibration, explainability consistency, and operational robustness under domain shift; (2) we introduce explanation agreement metrics—the Feature Agreement Score (FAS) and Jaccard Top-k Overlap (</w:t>
      </w:r>
      <w:proofErr w:type="spellStart"/>
      <w:r>
        <w:t>TkO</w:t>
      </w:r>
      <w:proofErr w:type="spellEnd"/>
      <w:r>
        <w:t>)—to quantify local attribution drift; (3) we translate abstract decision curve Net Benefit into bedside 100-cell consequence waffle charts for clinical translation; and (4) we release an interactive visual Research Workbench to verify audit reproducibility.</w:t>
      </w:r>
    </w:p>
    <w:p w14:paraId="46CCA3EF" w14:textId="77777777" w:rsidR="001269E5" w:rsidRDefault="001269E5">
      <w:pPr>
        <w:pStyle w:val="BodyText"/>
      </w:pPr>
    </w:p>
    <w:p w14:paraId="33B9EAE1" w14:textId="77777777" w:rsidR="001269E5" w:rsidRDefault="00000000">
      <w:pPr>
        <w:pStyle w:val="Heading1"/>
      </w:pPr>
      <w:r>
        <w:t>2. Materials and Methods</w:t>
      </w:r>
    </w:p>
    <w:p w14:paraId="7E749885" w14:textId="77777777" w:rsidR="001269E5" w:rsidRDefault="00000000">
      <w:pPr>
        <w:pStyle w:val="BodyText"/>
      </w:pPr>
      <w:r>
        <w:t>The AETHEL framework is structured as an automated, modular Python pipeline coupled with a web-based visualization dashboard. The pipeline executes cohort harmonization, nested cross-validation, post-hoc calibration, SHAP value extraction, explainability consistency auditing, stress testing, and clinical decision curves. The subsequent sections detail the methodology applied in each phase.</w:t>
      </w:r>
    </w:p>
    <w:p w14:paraId="5A0C1DE7" w14:textId="77777777" w:rsidR="001269E5" w:rsidRDefault="00000000">
      <w:pPr>
        <w:pStyle w:val="BodyText"/>
      </w:pPr>
      <w:r>
        <w:rPr>
          <w:b/>
        </w:rPr>
        <w:t>2.1 Research Question</w:t>
      </w:r>
    </w:p>
    <w:p w14:paraId="1DE3FCDD" w14:textId="77777777" w:rsidR="001269E5" w:rsidRDefault="00000000">
      <w:pPr>
        <w:pStyle w:val="BodyText"/>
      </w:pPr>
      <w:r>
        <w:t>This study addresses whether post-hoc probability calibration techniques maintain efficacy when transferred to unseen clinical settings under domain shift, and how calibration adjustments influence feature attribution consistency and clinical utility. We hypothesize that: (1) post-hoc calibration fitted on the source cohort degrades under transfer but can be partially recovered via target-level recalibration, and (2) explainability drift is non-linearly related to calibration adjustments under demographic shift.</w:t>
      </w:r>
    </w:p>
    <w:p w14:paraId="4E686ADF" w14:textId="77777777" w:rsidR="001269E5" w:rsidRDefault="00000000">
      <w:pPr>
        <w:pStyle w:val="BodyText"/>
      </w:pPr>
      <w:r>
        <w:rPr>
          <w:b/>
        </w:rPr>
        <w:t>2.2 Study Design</w:t>
      </w:r>
    </w:p>
    <w:p w14:paraId="16D8DCE2" w14:textId="77777777" w:rsidR="001269E5" w:rsidRDefault="00000000">
      <w:pPr>
        <w:pStyle w:val="BodyText"/>
      </w:pPr>
      <w:r>
        <w:t>We implemented a retrospective multi-cohort validation study design. Models were trained and optimized using a nested cross-validation loop on a designated source cohort. The optimized, frozen models were then externally transferred to a target cohort to evaluate baseline transportability. AETHEL audits these transfers using a multi-dimensional safety checklist. Figure 1 illustrates the overall framework architecture, and Figure 2 diagrams the step-by-step validation workflow.</w:t>
      </w:r>
    </w:p>
    <w:p w14:paraId="189E84D9" w14:textId="77777777" w:rsidR="001269E5" w:rsidRDefault="001269E5">
      <w:pPr>
        <w:pStyle w:val="BodyText"/>
      </w:pPr>
    </w:p>
    <w:p w14:paraId="145B3BE5" w14:textId="77777777" w:rsidR="001269E5" w:rsidRDefault="00000000">
      <w:pPr>
        <w:pStyle w:val="BodyText"/>
      </w:pPr>
      <w:r>
        <w:rPr>
          <w:b/>
        </w:rPr>
        <w:t>Figure 1. AETHEL Framework Architecture. The five-stage pipeline processes data ingestion, model training, calibration audit, explainability audit, and robustness/utility assessment, unified by an interactive research workbench.</w:t>
      </w:r>
      <w:r>
        <w:rPr>
          <w:b/>
        </w:rPr>
      </w:r>
      <w:r>
        <w:rPr>
          <w:b/>
        </w:rPr>
      </w:r>
    </w:p>
    <w:p w14:paraId="5447B328" w14:textId="77777777" w:rsidR="001269E5" w:rsidRDefault="001269E5">
      <w:pPr>
        <w:pStyle w:val="BodyText"/>
      </w:pPr>
    </w:p>
    <w:p w14:paraId="5DB0FB51" w14:textId="77777777" w:rsidR="001269E5" w:rsidRDefault="00000000">
      <w:pPr>
        <w:pStyle w:val="BodyText"/>
      </w:pPr>
      <w:r>
        <w:rPr>
          <w:b/>
        </w:rPr>
        <w:t>Figure 2. AETHEL Research Workflow. Seven sequential steps from data loading through cross-cohort transfer, calibration/XAI audit, robustness sweeps, DCA, and publication report generation.</w:t>
      </w:r>
      <w:r>
        <w:rPr>
          <w:b/>
        </w:rPr>
      </w:r>
      <w:r>
        <w:rPr>
          <w:b/>
        </w:rPr>
      </w:r>
    </w:p>
    <w:p w14:paraId="2A165AAF" w14:textId="77777777" w:rsidR="001269E5" w:rsidRDefault="00000000">
      <w:pPr>
        <w:pStyle w:val="BodyText"/>
      </w:pPr>
      <w:r>
        <w:rPr>
          <w:b/>
        </w:rPr>
        <w:t>2.3 Datasets</w:t>
      </w:r>
    </w:p>
    <w:p w14:paraId="36A1AC17" w14:textId="77777777" w:rsidR="001269E5" w:rsidRDefault="00000000">
      <w:pPr>
        <w:pStyle w:val="BodyText"/>
      </w:pPr>
      <w:r>
        <w:t>We utilized two primary patient registries: the Framingham Heart Study (FHS) cohort (N = 4,240 participants; 10-year CHD endpoint; event rate = 15.2%) and the National Health and Nutrition Examination Survey (NHANES; N ≈ 15,000 participants; cross-sectional reference). The synthetic source development cohort comprised N = 1,000 participants (event rate = 23.4%). All cohorts were harmonised to a common feature schema (h_age, h_bmi, h_is_smoker) resolved as the intersection of available supervised features across datasets.</w:t>
      </w:r>
      <w:r/>
    </w:p>
    <w:p w14:paraId="7353B0E4" w14:textId="77777777" w:rsidR="001269E5" w:rsidRDefault="00000000">
      <w:pPr>
        <w:pStyle w:val="BodyText"/>
      </w:pPr>
      <w:r>
        <w:rPr>
          <w:b/>
        </w:rPr>
        <w:t>2.4 Data Harmonization</w:t>
      </w:r>
    </w:p>
    <w:p w14:paraId="6CB6000E" w14:textId="77777777" w:rsidR="001269E5" w:rsidRDefault="00000000">
      <w:pPr>
        <w:pStyle w:val="BodyText"/>
      </w:pPr>
      <w:r>
        <w:t>To enable cross-cohort validation, we developed a schema `Harmonizer` class to align disparate variable naming, units, and missing value representations. Standardized features extracted across both cohorts include age, systolic blood pressure (</w:t>
      </w:r>
      <w:proofErr w:type="spellStart"/>
      <w:r>
        <w:t>sysBP</w:t>
      </w:r>
      <w:proofErr w:type="spellEnd"/>
      <w:r>
        <w:t>), diastolic blood pressure (</w:t>
      </w:r>
      <w:proofErr w:type="spellStart"/>
      <w:r>
        <w:t>diaBP</w:t>
      </w:r>
      <w:proofErr w:type="spellEnd"/>
      <w:r>
        <w:t>), total cholesterol (</w:t>
      </w:r>
      <w:proofErr w:type="spellStart"/>
      <w:r>
        <w:t>totChol</w:t>
      </w:r>
      <w:proofErr w:type="spellEnd"/>
      <w:r>
        <w:t>), body mass index (BMI), and smoking status. To prevent data leakage, missing continuous values were imputed using a median imputation scheme nested within each cross-validation fold. Figure 3 outlines the data harmonization pipeline.</w:t>
      </w:r>
    </w:p>
    <w:p w14:paraId="1D2D0236" w14:textId="77777777" w:rsidR="001269E5" w:rsidRDefault="001269E5">
      <w:pPr>
        <w:pStyle w:val="BodyText"/>
      </w:pPr>
    </w:p>
    <w:p w14:paraId="62BAA576" w14:textId="77777777" w:rsidR="001269E5" w:rsidRDefault="00000000">
      <w:pPr>
        <w:pStyle w:val="BodyText"/>
      </w:pPr>
      <w:r>
        <w:rPr>
          <w:b/>
        </w:rPr>
        <w:t>Figure 3. Dataset Harmonisation Pipeline. Raw datasets from three cohorts (Synthetic, Framingham, NHANES) are schema-mapped, feature-renamed, imputed, and resolved to an intersection feature set.</w:t>
      </w:r>
      <w:r>
        <w:rPr>
          <w:b/>
        </w:rPr>
      </w:r>
      <w:r>
        <w:rPr>
          <w:b/>
        </w:rPr>
      </w:r>
    </w:p>
    <w:p w14:paraId="6A44757B" w14:textId="77777777" w:rsidR="001269E5" w:rsidRDefault="00000000">
      <w:pPr>
        <w:pStyle w:val="BodyText"/>
      </w:pPr>
      <w:r>
        <w:rPr>
          <w:b/>
        </w:rPr>
        <w:t>2.5 Machine Learning Models</w:t>
      </w:r>
    </w:p>
    <w:p w14:paraId="5F5BECAA" w14:textId="77777777" w:rsidR="001269E5" w:rsidRDefault="00000000">
      <w:pPr>
        <w:pStyle w:val="BodyText"/>
      </w:pPr>
      <w:r>
        <w:t>We trained a heterogeneous ensemble of binary classifiers to predict 10-year risk of cardiovascular events, including Extreme Gradient Boosting (</w:t>
      </w:r>
      <w:proofErr w:type="spellStart"/>
      <w:r>
        <w:t>XGBoost</w:t>
      </w:r>
      <w:proofErr w:type="spellEnd"/>
      <w:r>
        <w:t xml:space="preserve">), Random Forests (RF), </w:t>
      </w:r>
      <w:proofErr w:type="spellStart"/>
      <w:r>
        <w:t>LightGBM</w:t>
      </w:r>
      <w:proofErr w:type="spellEnd"/>
      <w:r>
        <w:t>, and Logistic Regression (LR). Hyperparameters were optimized via grid search nested inside a 5x10-fold cross-validation loop to guarantee unbiased performance estimates.</w:t>
      </w:r>
    </w:p>
    <w:p w14:paraId="64930EB2" w14:textId="77777777" w:rsidR="001269E5" w:rsidRDefault="00000000">
      <w:pPr>
        <w:pStyle w:val="BodyText"/>
      </w:pPr>
      <w:r>
        <w:rPr>
          <w:b/>
        </w:rPr>
        <w:t>2.6 Survival Analysis</w:t>
      </w:r>
    </w:p>
    <w:p w14:paraId="78A7B3CD" w14:textId="77777777" w:rsidR="001269E5" w:rsidRDefault="00000000">
      <w:pPr>
        <w:pStyle w:val="BodyText"/>
      </w:pPr>
      <w:r>
        <w:t>For time-to-event outcomes on the simulated cohort, we trained Cox Proportional Hazards (Cox PH) and Random Survival Forest (RSF) models. Models were evaluated using Harrell's Concordance Index (C-index). Local attributions for survival predictions were extracted using a median-SHAP attribution mapping.</w:t>
      </w:r>
    </w:p>
    <w:p w14:paraId="54A9CA50" w14:textId="77777777" w:rsidR="001269E5" w:rsidRDefault="00000000">
      <w:pPr>
        <w:pStyle w:val="BodyText"/>
      </w:pPr>
      <w:r>
        <w:rPr>
          <w:b/>
        </w:rPr>
        <w:t>2.7 Calibration Assessment</w:t>
      </w:r>
    </w:p>
    <w:p w14:paraId="10C34F3C" w14:textId="77777777" w:rsidR="001269E5" w:rsidRDefault="00000000">
      <w:pPr>
        <w:pStyle w:val="BodyText"/>
      </w:pPr>
      <w:r>
        <w:t>Probability calibration was evaluated quantitatively using Expected Calibration Error (ECE) and qualitatively via reliability diagrams. ECE partitions model predictions into B equally spaced bins and computes the weighted absolute difference between observed accuracy and predicted confidence. Recalibration was executed post-hoc using Platt scaling (sigmoid log-odds mapping) and non-parametric Isotonic Regression.</w:t>
      </w:r>
    </w:p>
    <w:p w14:paraId="2FC3610D" w14:textId="77777777" w:rsidR="001269E5" w:rsidRDefault="00000000">
      <w:pPr>
        <w:pStyle w:val="BodyText"/>
      </w:pPr>
      <w:r>
        <w:rPr>
          <w:b/>
        </w:rPr>
        <w:t>2.8 Explainability Assessment</w:t>
      </w:r>
    </w:p>
    <w:p w14:paraId="756F08A9" w14:textId="77777777" w:rsidR="001269E5" w:rsidRDefault="00000000">
      <w:pPr>
        <w:pStyle w:val="BodyText"/>
      </w:pPr>
      <w:r>
        <w:t>To explain model decisions, we computed local feature attributions using SHAP values. To audit explainability drift under domain shift, we developed two consensus metrics: (1) the Feature Agreement Score (FAS), which measures the Pearson correlation of local SHAP values for individual patients across development and transfer configurations; and (2) the Jaccard Top-k Overlap (</w:t>
      </w:r>
      <w:proofErr w:type="spellStart"/>
      <w:r>
        <w:t>TkO</w:t>
      </w:r>
      <w:proofErr w:type="spellEnd"/>
      <w:r>
        <w:t>), which computes the cardinality of the intersection of the top k most influential features divided by the cardinality of their union.</w:t>
      </w:r>
    </w:p>
    <w:p w14:paraId="3FAC2C89" w14:textId="77777777" w:rsidR="001269E5" w:rsidRDefault="00000000">
      <w:pPr>
        <w:pStyle w:val="BodyText"/>
      </w:pPr>
      <w:r>
        <w:rPr>
          <w:b/>
        </w:rPr>
        <w:t>2.9 Cross-Cohort Validation</w:t>
      </w:r>
    </w:p>
    <w:p w14:paraId="4B356866" w14:textId="77777777" w:rsidR="001269E5" w:rsidRDefault="00000000">
      <w:pPr>
        <w:pStyle w:val="BodyText"/>
      </w:pPr>
      <w:r>
        <w:t>Direct transportability was validated by deploying the source-trained models on the target NHANES cohort. Because NHANES is cross-sectional and lacks longitudinal survival follow-up, we established a clinical surrogate outcome defined by standard clinical guidelines: systolic blood pressure &gt;= 140 mmHg, diastolic blood pressure &gt;= 90 mmHg, or total cholesterol &gt;= 240 mg/dL. This transfer tests the model under covariate shift and changes in target baseline prevalence.</w:t>
      </w:r>
    </w:p>
    <w:p w14:paraId="5AF2E8B8" w14:textId="77777777" w:rsidR="001269E5" w:rsidRDefault="00000000">
      <w:pPr>
        <w:pStyle w:val="BodyText"/>
      </w:pPr>
      <w:r>
        <w:rPr>
          <w:b/>
        </w:rPr>
        <w:t>2.10 Robustness Assessment</w:t>
      </w:r>
    </w:p>
    <w:p w14:paraId="33D6C89D" w14:textId="77777777" w:rsidR="001269E5" w:rsidRDefault="00000000">
      <w:pPr>
        <w:pStyle w:val="BodyText"/>
      </w:pPr>
      <w:r>
        <w:t>Operational robustness was audited using continuous perturbation sweeps. Gaussian noise was added to continuous inputs at varying intensities (standard deviations sigma from 0.0 to 1.0) to simulate sensor inaccuracies. In parallel, missingness sweeps randomly dropped variables at rates from 0% to 50% to simulate incomplete EHR entries. Model performance decay was plotted to define the failure boundary.</w:t>
      </w:r>
    </w:p>
    <w:p w14:paraId="51DB0CD8" w14:textId="77777777" w:rsidR="001269E5" w:rsidRDefault="00000000">
      <w:pPr>
        <w:pStyle w:val="BodyText"/>
      </w:pPr>
      <w:r>
        <w:rPr>
          <w:b/>
        </w:rPr>
        <w:t>2.11 Clinical Utility Evaluation</w:t>
      </w:r>
    </w:p>
    <w:p w14:paraId="5B88A431" w14:textId="77777777" w:rsidR="001269E5" w:rsidRDefault="00000000">
      <w:pPr>
        <w:pStyle w:val="BodyText"/>
      </w:pPr>
      <w:r>
        <w:t>Clinical utility was measured using Decision Curve Analysis (DCA), calculating Net Benefit across a range of clinical decision thresholds. Net Benefit subtracts the proportion of false positives (weighted by the relative harm of unnecessary treatment) from the proportion of true positives. To enhance bedside translation, Net Benefit was projected into a 100-cell consequence waffle chart, showing the absolute number of true and false positives per 1,000 patients.</w:t>
      </w:r>
    </w:p>
    <w:p w14:paraId="240FD0F5" w14:textId="77777777" w:rsidR="001269E5" w:rsidRDefault="00000000">
      <w:pPr>
        <w:pStyle w:val="BodyText"/>
      </w:pPr>
      <w:r>
        <w:rPr>
          <w:b/>
        </w:rPr>
        <w:t>2.12 Statistical Analysis</w:t>
      </w:r>
    </w:p>
    <w:p w14:paraId="0DD002BA" w14:textId="77777777" w:rsidR="001269E5" w:rsidRDefault="00000000">
      <w:pPr>
        <w:pStyle w:val="BodyText"/>
      </w:pPr>
      <w:r>
        <w:t>Statistical uncertainty was evaluated using a paired bootstrap test (1,000 resamples) to compute 95% confidence intervals (CIs) for ROC-AUC, ECE, and Net Benefit. Paired comparisons between model architectures were validated using McNemar's test.</w:t>
      </w:r>
    </w:p>
    <w:p w14:paraId="00054422" w14:textId="77777777" w:rsidR="001269E5" w:rsidRDefault="00000000">
      <w:pPr>
        <w:pStyle w:val="BodyText"/>
      </w:pPr>
      <w:r>
        <w:rPr>
          <w:b/>
        </w:rPr>
        <w:t>2.13 Reproducibility</w:t>
      </w:r>
    </w:p>
    <w:p w14:paraId="6513866B" w14:textId="77777777" w:rsidR="001269E5" w:rsidRDefault="00000000">
      <w:pPr>
        <w:pStyle w:val="BodyText"/>
      </w:pPr>
      <w:r>
        <w:lastRenderedPageBreak/>
        <w:t>To ensure complete reproducibility of the audit results, we locked all random seeds (seed 42), captured package dependencies in an environment configuration, and containerized the pipeline. Visual and telemetry verification was conducted through the Next.js interactive visual Research Workbench.</w:t>
      </w:r>
    </w:p>
    <w:p w14:paraId="3918AE4F" w14:textId="77777777" w:rsidR="001269E5" w:rsidRDefault="00000000">
      <w:pPr>
        <w:pStyle w:val="BodyText"/>
      </w:pPr>
      <w:r>
        <w:rPr>
          <w:b/>
        </w:rPr>
        <w:t>2.14 Sensitivity Analyses</w:t>
      </w:r>
    </w:p>
    <w:p w14:paraId="02E3E292" w14:textId="77777777" w:rsidR="001269E5" w:rsidRDefault="00000000">
      <w:pPr>
        <w:pStyle w:val="BodyText"/>
      </w:pPr>
      <w:r>
        <w:t>Sensitivity analyses were performed to confirm that the audit findings were not artifacts of specific parameter selections. We varied the number of bins (B in [5, 10, 15, 20]) in ECE calculations, evaluated alternative imputation algorithms (K-Nearest Neighbors and Multiple Imputation by Chained Equations), and adjusted the clinical surrogate cutoffs.</w:t>
      </w:r>
    </w:p>
    <w:p w14:paraId="7B77B4A8" w14:textId="77777777" w:rsidR="001269E5" w:rsidRDefault="001269E5">
      <w:pPr>
        <w:pStyle w:val="BodyText"/>
      </w:pPr>
    </w:p>
    <w:p w14:paraId="3A5A8506" w14:textId="77777777" w:rsidR="001269E5" w:rsidRDefault="00000000">
      <w:pPr>
        <w:pStyle w:val="Heading1"/>
      </w:pPr>
      <w:r>
        <w:t>3. Results</w:t>
      </w:r>
    </w:p>
    <w:p w14:paraId="3DAE08A1" w14:textId="77777777" w:rsidR="001269E5" w:rsidRDefault="00000000">
      <w:pPr>
        <w:pStyle w:val="BodyText"/>
      </w:pPr>
      <w:r>
        <w:t>This section presents the results of the multi-dimensional validation audits executed by AETHEL on the cardiovascular prediction ensembles.</w:t>
      </w:r>
    </w:p>
    <w:p w14:paraId="588DCCF9" w14:textId="77777777" w:rsidR="001269E5" w:rsidRDefault="00000000">
      <w:pPr>
        <w:pStyle w:val="BodyText"/>
      </w:pPr>
      <w:r>
        <w:rPr>
          <w:b/>
        </w:rPr>
        <w:t>3.1 Dataset Characteristics</w:t>
      </w:r>
    </w:p>
    <w:p w14:paraId="52FD470B" w14:textId="77777777" w:rsidR="001269E5" w:rsidRDefault="00000000">
      <w:pPr>
        <w:pStyle w:val="BodyText"/>
      </w:pPr>
      <w:r>
        <w:t>Table 1 summarizes the clinical characteristics and demographics of the harmonized cohorts. The source development set (synthetic cohort) comprised N = 1,000 patients with a cardiovascular event rate of 23.4%. The target validation cohort (Framingham Heart Study) comprised N = 4,240 participants with a 10-year CHD event rate of 15.2%. All three harmonized features (age, BMI, smoking status) demonstrated low-to-moderate domain shift by Kolmogorov–Smirnov test (KS statistic range: 0.07–0.18), confirming covariate shift without catastrophic distributional divergence.</w:t>
      </w:r>
    </w:p>
    <w:p w14:paraId="599B61FD" w14:textId="77777777" w:rsidR="001269E5" w:rsidRDefault="001269E5">
      <w:pPr>
        <w:pStyle w:val="BodyText"/>
      </w:pPr>
    </w:p>
    <w:p w14:paraId="390AFD74" w14:textId="77777777" w:rsidR="001269E5" w:rsidRDefault="00000000">
      <w:pPr>
        <w:pStyle w:val="BodyText"/>
      </w:pPr>
      <w:r>
        <w:rPr>
          <w:b/>
        </w:rPr>
        <w:t xml:space="preserve">Table 1. Dataset Characteristics. </w:t>
      </w:r>
    </w:p>
    <w:tbl>
      <w:tblPr>
        <w:tblW w:w="0" w:type="auto"/>
        <w:tblLook w:val="04A0" w:firstRow="1" w:lastRow="0" w:firstColumn="1" w:lastColumn="0" w:noHBand="0" w:noVBand="1"/>
      </w:tblPr>
      <w:tblGrid>
        <w:gridCol w:w="2368"/>
        <w:gridCol w:w="2368"/>
        <w:gridCol w:w="2368"/>
        <w:gridCol w:w="2368"/>
      </w:tblGrid>
      <w:tr w:rsidR="001269E5" w14:paraId="004B90C4" w14:textId="77777777">
        <w:tc>
          <w:tcPr>
            <w:tcW w:w="2368" w:type="dxa"/>
          </w:tcPr>
          <w:p w14:paraId="75AA1D1C" w14:textId="77777777" w:rsidR="001269E5" w:rsidRDefault="00000000">
            <w:r>
              <w:rPr>
                <w:b/>
              </w:rPr>
              <w:t>Cohort Name</w:t>
            </w:r>
          </w:p>
        </w:tc>
        <w:tc>
          <w:tcPr>
            <w:tcW w:w="2368" w:type="dxa"/>
          </w:tcPr>
          <w:p w14:paraId="1A2BB070" w14:textId="77777777" w:rsidR="001269E5" w:rsidRDefault="00000000">
            <w:r>
              <w:rPr>
                <w:b/>
              </w:rPr>
              <w:t>Sample Size (N)</w:t>
            </w:r>
          </w:p>
        </w:tc>
        <w:tc>
          <w:tcPr>
            <w:tcW w:w="2368" w:type="dxa"/>
          </w:tcPr>
          <w:p w14:paraId="191C7682" w14:textId="77777777" w:rsidR="001269E5" w:rsidRDefault="00000000">
            <w:r>
              <w:rPr>
                <w:b/>
              </w:rPr>
              <w:t>Target Event Rate (%)</w:t>
            </w:r>
          </w:p>
        </w:tc>
        <w:tc>
          <w:tcPr>
            <w:tcW w:w="2368" w:type="dxa"/>
          </w:tcPr>
          <w:p w14:paraId="73FB0714" w14:textId="77777777" w:rsidR="001269E5" w:rsidRDefault="00000000">
            <w:r>
              <w:rPr>
                <w:b/>
              </w:rPr>
              <w:t>Demographics / Location</w:t>
            </w:r>
          </w:p>
        </w:tc>
      </w:tr>
      <w:tr w:rsidR="001269E5" w14:paraId="2F897C9E" w14:textId="77777777">
        <w:tc>
          <w:tcPr>
            <w:tcW w:w="2368" w:type="dxa"/>
          </w:tcPr>
          <w:p w14:paraId="6DFD647A" w14:textId="77777777" w:rsidR="001269E5" w:rsidRDefault="00000000">
            <w:r>
              <w:t>[Insert Data]</w:t>
            </w:r>
          </w:p>
        </w:tc>
        <w:tc>
          <w:tcPr>
            <w:tcW w:w="2368" w:type="dxa"/>
          </w:tcPr>
          <w:p w14:paraId="2D047BC8" w14:textId="77777777" w:rsidR="001269E5" w:rsidRDefault="00000000">
            <w:r>
              <w:t>[Insert Data]</w:t>
            </w:r>
          </w:p>
        </w:tc>
        <w:tc>
          <w:tcPr>
            <w:tcW w:w="2368" w:type="dxa"/>
          </w:tcPr>
          <w:p w14:paraId="200D7941" w14:textId="77777777" w:rsidR="001269E5" w:rsidRDefault="00000000">
            <w:r>
              <w:t>[Insert Data]</w:t>
            </w:r>
          </w:p>
        </w:tc>
        <w:tc>
          <w:tcPr>
            <w:tcW w:w="2368" w:type="dxa"/>
          </w:tcPr>
          <w:p w14:paraId="3FF18509" w14:textId="77777777" w:rsidR="001269E5" w:rsidRDefault="00000000">
            <w:r>
              <w:t>[Insert Data]</w:t>
            </w:r>
          </w:p>
        </w:tc>
      </w:tr>
      <w:tr w:rsidR="001269E5" w14:paraId="7BC5B047" w14:textId="77777777">
        <w:tc>
          <w:tcPr>
            <w:tcW w:w="2368" w:type="dxa"/>
          </w:tcPr>
          <w:p w14:paraId="487E84C7" w14:textId="77777777" w:rsidR="001269E5" w:rsidRDefault="00000000">
            <w:r>
              <w:t>[Insert Data]</w:t>
            </w:r>
          </w:p>
        </w:tc>
        <w:tc>
          <w:tcPr>
            <w:tcW w:w="2368" w:type="dxa"/>
          </w:tcPr>
          <w:p w14:paraId="38B895CB" w14:textId="77777777" w:rsidR="001269E5" w:rsidRDefault="00000000">
            <w:r>
              <w:t>[Insert Data]</w:t>
            </w:r>
          </w:p>
        </w:tc>
        <w:tc>
          <w:tcPr>
            <w:tcW w:w="2368" w:type="dxa"/>
          </w:tcPr>
          <w:p w14:paraId="1C575BDF" w14:textId="77777777" w:rsidR="001269E5" w:rsidRDefault="00000000">
            <w:r>
              <w:t>[Insert Data]</w:t>
            </w:r>
          </w:p>
        </w:tc>
        <w:tc>
          <w:tcPr>
            <w:tcW w:w="2368" w:type="dxa"/>
          </w:tcPr>
          <w:p w14:paraId="5E6C4CA8" w14:textId="77777777" w:rsidR="001269E5" w:rsidRDefault="00000000">
            <w:r>
              <w:t>[Insert Data]</w:t>
            </w:r>
          </w:p>
        </w:tc>
      </w:tr>
      <w:tr w:rsidR="001269E5" w14:paraId="0C4E99EA" w14:textId="77777777">
        <w:tc>
          <w:tcPr>
            <w:tcW w:w="2368" w:type="dxa"/>
          </w:tcPr>
          <w:p w14:paraId="6A089F88" w14:textId="77777777" w:rsidR="001269E5" w:rsidRDefault="00000000">
            <w:r>
              <w:t>[Insert Data]</w:t>
            </w:r>
          </w:p>
        </w:tc>
        <w:tc>
          <w:tcPr>
            <w:tcW w:w="2368" w:type="dxa"/>
          </w:tcPr>
          <w:p w14:paraId="67DD1B77" w14:textId="77777777" w:rsidR="001269E5" w:rsidRDefault="00000000">
            <w:r>
              <w:t>[Insert Data]</w:t>
            </w:r>
          </w:p>
        </w:tc>
        <w:tc>
          <w:tcPr>
            <w:tcW w:w="2368" w:type="dxa"/>
          </w:tcPr>
          <w:p w14:paraId="28739620" w14:textId="77777777" w:rsidR="001269E5" w:rsidRDefault="00000000">
            <w:r>
              <w:t>[Insert Data]</w:t>
            </w:r>
          </w:p>
        </w:tc>
        <w:tc>
          <w:tcPr>
            <w:tcW w:w="2368" w:type="dxa"/>
          </w:tcPr>
          <w:p w14:paraId="755300B2" w14:textId="77777777" w:rsidR="001269E5" w:rsidRDefault="00000000">
            <w:r>
              <w:t>[Insert Data]</w:t>
            </w:r>
          </w:p>
        </w:tc>
      </w:tr>
    </w:tbl>
    <w:p w14:paraId="3E735331" w14:textId="77777777" w:rsidR="001269E5" w:rsidRDefault="00000000">
      <w:pPr>
        <w:pStyle w:val="BodyText"/>
      </w:pPr>
      <w:r>
        <w:rPr>
          <w:b/>
        </w:rPr>
        <w:t>3.2 Internal Validation</w:t>
      </w:r>
    </w:p>
    <w:p w14:paraId="694B4694" w14:textId="77777777" w:rsidR="001269E5" w:rsidRDefault="00000000">
      <w:pPr>
        <w:pStyle w:val="BodyText"/>
      </w:pPr>
      <w:r>
        <w:t>Feature-level distributional statistics for the three harmonised predictors are presented in Table 2. Under internal validation (synthetic cohort, N = 150 hold-out), Logistic Regression achieved the highest discriminative accuracy with an ROC-AUC of 0.697 (95% CI: 0.581–0.802), F1 = 0.000, and Brier Score = 0.1622. Logistic Regression, the most interpretable model, achieved ROC-AUC = 0.697 (95% CI: 0.581–0.802) with an Expected Calibration Error (ECE) = 0.0271, indicating adequate probability calibration within the source cohort. Full results for all seven models are presented in Table 3.</w:t>
      </w:r>
      <w:proofErr w:type="spellStart"/>
      <w:r/>
      <w:proofErr w:type="spellEnd"/>
      <w:r/>
    </w:p>
    <w:p w14:paraId="07DF9C6C" w14:textId="77777777" w:rsidR="001269E5" w:rsidRDefault="001269E5">
      <w:pPr>
        <w:pStyle w:val="BodyText"/>
      </w:pPr>
    </w:p>
    <w:p w14:paraId="288089FE" w14:textId="77777777" w:rsidR="001269E5" w:rsidRDefault="00000000">
      <w:pPr>
        <w:pStyle w:val="BodyText"/>
      </w:pPr>
      <w:r>
        <w:rPr>
          <w:b/>
        </w:rPr>
        <w:t xml:space="preserve">Table 2. Feature Summary. </w:t>
      </w:r>
    </w:p>
    <w:tbl>
      <w:tblPr>
        <w:tblW w:w="0" w:type="auto"/>
        <w:tblLook w:val="04A0" w:firstRow="1" w:lastRow="0" w:firstColumn="1" w:lastColumn="0" w:noHBand="0" w:noVBand="1"/>
      </w:tblPr>
      <w:tblGrid>
        <w:gridCol w:w="2368"/>
        <w:gridCol w:w="2368"/>
        <w:gridCol w:w="2368"/>
        <w:gridCol w:w="2368"/>
      </w:tblGrid>
      <w:tr w:rsidR="001269E5" w14:paraId="29BA2443" w14:textId="77777777">
        <w:tc>
          <w:tcPr>
            <w:tcW w:w="2368" w:type="dxa"/>
          </w:tcPr>
          <w:p w14:paraId="663A95EF" w14:textId="77777777" w:rsidR="001269E5" w:rsidRDefault="00000000">
            <w:r>
              <w:rPr>
                <w:b/>
              </w:rPr>
              <w:t>Feature Name</w:t>
            </w:r>
          </w:p>
        </w:tc>
        <w:tc>
          <w:tcPr>
            <w:tcW w:w="2368" w:type="dxa"/>
          </w:tcPr>
          <w:p w14:paraId="7096E8A8" w14:textId="77777777" w:rsidR="001269E5" w:rsidRDefault="00000000">
            <w:r>
              <w:rPr>
                <w:b/>
              </w:rPr>
              <w:t>Type</w:t>
            </w:r>
          </w:p>
        </w:tc>
        <w:tc>
          <w:tcPr>
            <w:tcW w:w="2368" w:type="dxa"/>
          </w:tcPr>
          <w:p w14:paraId="68687861" w14:textId="77777777" w:rsidR="001269E5" w:rsidRDefault="00000000">
            <w:r>
              <w:rPr>
                <w:b/>
              </w:rPr>
              <w:t>Source (Framingham)</w:t>
            </w:r>
          </w:p>
        </w:tc>
        <w:tc>
          <w:tcPr>
            <w:tcW w:w="2368" w:type="dxa"/>
          </w:tcPr>
          <w:p w14:paraId="0ADF0B1E" w14:textId="77777777" w:rsidR="001269E5" w:rsidRDefault="00000000">
            <w:r>
              <w:rPr>
                <w:b/>
              </w:rPr>
              <w:t>Source (NHANES)</w:t>
            </w:r>
          </w:p>
        </w:tc>
      </w:tr>
      <w:tr w:rsidR="001269E5" w14:paraId="2C566E41" w14:textId="77777777">
        <w:tc>
          <w:tcPr>
            <w:tcW w:w="2368" w:type="dxa"/>
          </w:tcPr>
          <w:p w14:paraId="650DF82D" w14:textId="77777777" w:rsidR="001269E5" w:rsidRDefault="00000000">
            <w:r>
              <w:t>[Insert Data]</w:t>
            </w:r>
          </w:p>
        </w:tc>
        <w:tc>
          <w:tcPr>
            <w:tcW w:w="2368" w:type="dxa"/>
          </w:tcPr>
          <w:p w14:paraId="63F6CE62" w14:textId="77777777" w:rsidR="001269E5" w:rsidRDefault="00000000">
            <w:r>
              <w:t>[Insert Data]</w:t>
            </w:r>
          </w:p>
        </w:tc>
        <w:tc>
          <w:tcPr>
            <w:tcW w:w="2368" w:type="dxa"/>
          </w:tcPr>
          <w:p w14:paraId="0E585EFF" w14:textId="77777777" w:rsidR="001269E5" w:rsidRDefault="00000000">
            <w:r>
              <w:t>[Insert Data]</w:t>
            </w:r>
          </w:p>
        </w:tc>
        <w:tc>
          <w:tcPr>
            <w:tcW w:w="2368" w:type="dxa"/>
          </w:tcPr>
          <w:p w14:paraId="6F41047F" w14:textId="77777777" w:rsidR="001269E5" w:rsidRDefault="00000000">
            <w:r>
              <w:t>[Insert Data]</w:t>
            </w:r>
          </w:p>
        </w:tc>
      </w:tr>
      <w:tr w:rsidR="001269E5" w14:paraId="62698A60" w14:textId="77777777">
        <w:tc>
          <w:tcPr>
            <w:tcW w:w="2368" w:type="dxa"/>
          </w:tcPr>
          <w:p w14:paraId="0AD07FAB" w14:textId="77777777" w:rsidR="001269E5" w:rsidRDefault="00000000">
            <w:r>
              <w:t>[Insert Data]</w:t>
            </w:r>
          </w:p>
        </w:tc>
        <w:tc>
          <w:tcPr>
            <w:tcW w:w="2368" w:type="dxa"/>
          </w:tcPr>
          <w:p w14:paraId="7BBE849B" w14:textId="77777777" w:rsidR="001269E5" w:rsidRDefault="00000000">
            <w:r>
              <w:t>[Insert Data]</w:t>
            </w:r>
          </w:p>
        </w:tc>
        <w:tc>
          <w:tcPr>
            <w:tcW w:w="2368" w:type="dxa"/>
          </w:tcPr>
          <w:p w14:paraId="56F22512" w14:textId="77777777" w:rsidR="001269E5" w:rsidRDefault="00000000">
            <w:r>
              <w:t>[Insert Data]</w:t>
            </w:r>
          </w:p>
        </w:tc>
        <w:tc>
          <w:tcPr>
            <w:tcW w:w="2368" w:type="dxa"/>
          </w:tcPr>
          <w:p w14:paraId="2284F9A2" w14:textId="77777777" w:rsidR="001269E5" w:rsidRDefault="00000000">
            <w:r>
              <w:t>[Insert Data]</w:t>
            </w:r>
          </w:p>
        </w:tc>
      </w:tr>
      <w:tr w:rsidR="001269E5" w14:paraId="7E060EFE" w14:textId="77777777">
        <w:tc>
          <w:tcPr>
            <w:tcW w:w="2368" w:type="dxa"/>
          </w:tcPr>
          <w:p w14:paraId="05EE6C81" w14:textId="77777777" w:rsidR="001269E5" w:rsidRDefault="00000000">
            <w:r>
              <w:t>[Insert Data]</w:t>
            </w:r>
          </w:p>
        </w:tc>
        <w:tc>
          <w:tcPr>
            <w:tcW w:w="2368" w:type="dxa"/>
          </w:tcPr>
          <w:p w14:paraId="26C54C5C" w14:textId="77777777" w:rsidR="001269E5" w:rsidRDefault="00000000">
            <w:r>
              <w:t>[Insert Data]</w:t>
            </w:r>
          </w:p>
        </w:tc>
        <w:tc>
          <w:tcPr>
            <w:tcW w:w="2368" w:type="dxa"/>
          </w:tcPr>
          <w:p w14:paraId="7A0F2170" w14:textId="77777777" w:rsidR="001269E5" w:rsidRDefault="00000000">
            <w:r>
              <w:t>[Insert Data]</w:t>
            </w:r>
          </w:p>
        </w:tc>
        <w:tc>
          <w:tcPr>
            <w:tcW w:w="2368" w:type="dxa"/>
          </w:tcPr>
          <w:p w14:paraId="3182B27C" w14:textId="77777777" w:rsidR="001269E5" w:rsidRDefault="00000000">
            <w:r>
              <w:t>[Insert Data]</w:t>
            </w:r>
          </w:p>
        </w:tc>
      </w:tr>
    </w:tbl>
    <w:p w14:paraId="497A1F35" w14:textId="77777777" w:rsidR="001269E5" w:rsidRDefault="001269E5">
      <w:pPr>
        <w:pStyle w:val="BodyText"/>
      </w:pPr>
    </w:p>
    <w:p w14:paraId="6D0C14AF" w14:textId="77777777" w:rsidR="001269E5" w:rsidRDefault="00000000">
      <w:pPr>
        <w:pStyle w:val="BodyText"/>
      </w:pPr>
      <w:r>
        <w:rPr>
          <w:b/>
        </w:rPr>
        <w:t>Figure 4. ROC Curves — Internal Validation (Synthetic Cohort, N = 150 hold-out). Logistic Regression achieved the highest AUC among parametric models (AUC = 0.697). Shaded regions indicate 95% bootstrap confidence intervals.</w:t>
      </w:r>
      <w:r>
        <w:rPr>
          <w:b/>
        </w:rPr>
      </w:r>
      <w:r>
        <w:rPr>
          <w:b/>
        </w:rPr>
      </w:r>
    </w:p>
    <w:p w14:paraId="3ECFBC3F" w14:textId="77777777" w:rsidR="001269E5" w:rsidRDefault="001269E5">
      <w:pPr>
        <w:pStyle w:val="BodyText"/>
      </w:pPr>
    </w:p>
    <w:p w14:paraId="427593A7" w14:textId="77777777" w:rsidR="001269E5" w:rsidRDefault="00000000">
      <w:pPr>
        <w:pStyle w:val="BodyText"/>
      </w:pPr>
      <w:r>
        <w:rPr>
          <w:b/>
        </w:rPr>
        <w:t xml:space="preserve">Table 3. Model Performance. </w:t>
      </w:r>
    </w:p>
    <w:tbl>
      <w:tblPr>
        <w:tblW w:w="0" w:type="auto"/>
        <w:tblLook w:val="04A0" w:firstRow="1" w:lastRow="0" w:firstColumn="1" w:lastColumn="0" w:noHBand="0" w:noVBand="1"/>
      </w:tblPr>
      <w:tblGrid>
        <w:gridCol w:w="2368"/>
        <w:gridCol w:w="2368"/>
        <w:gridCol w:w="2368"/>
        <w:gridCol w:w="2368"/>
      </w:tblGrid>
      <w:tr w:rsidR="001269E5" w14:paraId="52F4602F" w14:textId="77777777">
        <w:tc>
          <w:tcPr>
            <w:tcW w:w="2368" w:type="dxa"/>
          </w:tcPr>
          <w:p w14:paraId="33AE548C" w14:textId="77777777" w:rsidR="001269E5" w:rsidRDefault="00000000">
            <w:r>
              <w:rPr>
                <w:b/>
              </w:rPr>
              <w:t>Model</w:t>
            </w:r>
          </w:p>
        </w:tc>
        <w:tc>
          <w:tcPr>
            <w:tcW w:w="2368" w:type="dxa"/>
          </w:tcPr>
          <w:p w14:paraId="41EE4165" w14:textId="77777777" w:rsidR="001269E5" w:rsidRDefault="00000000">
            <w:r>
              <w:rPr>
                <w:b/>
              </w:rPr>
              <w:t>ROC-AUC (95% CI)</w:t>
            </w:r>
          </w:p>
        </w:tc>
        <w:tc>
          <w:tcPr>
            <w:tcW w:w="2368" w:type="dxa"/>
          </w:tcPr>
          <w:p w14:paraId="6C4FA4EB" w14:textId="77777777" w:rsidR="001269E5" w:rsidRDefault="00000000">
            <w:r>
              <w:rPr>
                <w:b/>
              </w:rPr>
              <w:t>F1 Score</w:t>
            </w:r>
          </w:p>
        </w:tc>
        <w:tc>
          <w:tcPr>
            <w:tcW w:w="2368" w:type="dxa"/>
          </w:tcPr>
          <w:p w14:paraId="4676B46C" w14:textId="77777777" w:rsidR="001269E5" w:rsidRDefault="00000000">
            <w:r>
              <w:rPr>
                <w:b/>
              </w:rPr>
              <w:t>Brier Score</w:t>
            </w:r>
          </w:p>
        </w:tc>
      </w:tr>
      <w:tr w:rsidR="001269E5" w14:paraId="7AF3EFC2" w14:textId="77777777">
        <w:tc>
          <w:tcPr>
            <w:tcW w:w="2368" w:type="dxa"/>
          </w:tcPr>
          <w:p w14:paraId="041AD9D2" w14:textId="77777777" w:rsidR="001269E5" w:rsidRDefault="00000000">
            <w:r>
              <w:t>[Insert Data]</w:t>
            </w:r>
          </w:p>
        </w:tc>
        <w:tc>
          <w:tcPr>
            <w:tcW w:w="2368" w:type="dxa"/>
          </w:tcPr>
          <w:p w14:paraId="1523129A" w14:textId="77777777" w:rsidR="001269E5" w:rsidRDefault="00000000">
            <w:r>
              <w:t>[Insert Data]</w:t>
            </w:r>
          </w:p>
        </w:tc>
        <w:tc>
          <w:tcPr>
            <w:tcW w:w="2368" w:type="dxa"/>
          </w:tcPr>
          <w:p w14:paraId="7D8D5218" w14:textId="77777777" w:rsidR="001269E5" w:rsidRDefault="00000000">
            <w:r>
              <w:t>[Insert Data]</w:t>
            </w:r>
          </w:p>
        </w:tc>
        <w:tc>
          <w:tcPr>
            <w:tcW w:w="2368" w:type="dxa"/>
          </w:tcPr>
          <w:p w14:paraId="31934CBE" w14:textId="77777777" w:rsidR="001269E5" w:rsidRDefault="00000000">
            <w:r>
              <w:t>[Insert Data]</w:t>
            </w:r>
          </w:p>
        </w:tc>
      </w:tr>
      <w:tr w:rsidR="001269E5" w14:paraId="257A90C7" w14:textId="77777777">
        <w:tc>
          <w:tcPr>
            <w:tcW w:w="2368" w:type="dxa"/>
          </w:tcPr>
          <w:p w14:paraId="7B41E467" w14:textId="77777777" w:rsidR="001269E5" w:rsidRDefault="00000000">
            <w:r>
              <w:t>[Insert Data]</w:t>
            </w:r>
          </w:p>
        </w:tc>
        <w:tc>
          <w:tcPr>
            <w:tcW w:w="2368" w:type="dxa"/>
          </w:tcPr>
          <w:p w14:paraId="29E4383C" w14:textId="77777777" w:rsidR="001269E5" w:rsidRDefault="00000000">
            <w:r>
              <w:t>[Insert Data]</w:t>
            </w:r>
          </w:p>
        </w:tc>
        <w:tc>
          <w:tcPr>
            <w:tcW w:w="2368" w:type="dxa"/>
          </w:tcPr>
          <w:p w14:paraId="334E102B" w14:textId="77777777" w:rsidR="001269E5" w:rsidRDefault="00000000">
            <w:r>
              <w:t>[Insert Data]</w:t>
            </w:r>
          </w:p>
        </w:tc>
        <w:tc>
          <w:tcPr>
            <w:tcW w:w="2368" w:type="dxa"/>
          </w:tcPr>
          <w:p w14:paraId="54CF0834" w14:textId="77777777" w:rsidR="001269E5" w:rsidRDefault="00000000">
            <w:r>
              <w:t>[Insert Data]</w:t>
            </w:r>
          </w:p>
        </w:tc>
      </w:tr>
      <w:tr w:rsidR="001269E5" w14:paraId="76D5AF12" w14:textId="77777777">
        <w:tc>
          <w:tcPr>
            <w:tcW w:w="2368" w:type="dxa"/>
          </w:tcPr>
          <w:p w14:paraId="6A10EC9F" w14:textId="77777777" w:rsidR="001269E5" w:rsidRDefault="00000000">
            <w:r>
              <w:t>[Insert Data]</w:t>
            </w:r>
          </w:p>
        </w:tc>
        <w:tc>
          <w:tcPr>
            <w:tcW w:w="2368" w:type="dxa"/>
          </w:tcPr>
          <w:p w14:paraId="265270CC" w14:textId="77777777" w:rsidR="001269E5" w:rsidRDefault="00000000">
            <w:r>
              <w:t>[Insert Data]</w:t>
            </w:r>
          </w:p>
        </w:tc>
        <w:tc>
          <w:tcPr>
            <w:tcW w:w="2368" w:type="dxa"/>
          </w:tcPr>
          <w:p w14:paraId="43BDFE34" w14:textId="77777777" w:rsidR="001269E5" w:rsidRDefault="00000000">
            <w:r>
              <w:t>[Insert Data]</w:t>
            </w:r>
          </w:p>
        </w:tc>
        <w:tc>
          <w:tcPr>
            <w:tcW w:w="2368" w:type="dxa"/>
          </w:tcPr>
          <w:p w14:paraId="6ACDDE4A" w14:textId="77777777" w:rsidR="001269E5" w:rsidRDefault="00000000">
            <w:r>
              <w:t>[Insert Data]</w:t>
            </w:r>
          </w:p>
        </w:tc>
      </w:tr>
    </w:tbl>
    <w:p w14:paraId="7EAA3ED8" w14:textId="77777777" w:rsidR="001269E5" w:rsidRDefault="00000000">
      <w:pPr>
        <w:pStyle w:val="BodyText"/>
      </w:pPr>
      <w:r>
        <w:rPr>
          <w:b/>
        </w:rPr>
        <w:t>3.3 External Validation</w:t>
      </w:r>
    </w:p>
    <w:p w14:paraId="6439E7AB" w14:textId="77777777" w:rsidR="001269E5" w:rsidRDefault="00000000">
      <w:pPr>
        <w:pStyle w:val="BodyText"/>
      </w:pPr>
      <w:r>
        <w:t>Transferring the frozen models to the target Framingham cohort resulted in discrimination degradation in parametric models. Logistic Regression AUC dropped from 0.697 (source) to 0.606 (target; ΔAUC = 0.091). XGBoost demonstrated a drop from 0.588 to 0.540 (ΔAUC = 0.049). Tree-based models (Decision Tree, Random Forest) showed minimal degradation (ΔAUC &lt; 0.005), consistent with their lower reliance on feature magnitude. Complete external validation results are reported in Table 5. Calibration performance under domain transfer is reported separately in Table 4 (Section 3.4).</w:t>
      </w:r>
      <w:proofErr w:type="spellStart"/>
      <w:r/>
      <w:proofErr w:type="spellEnd"/>
      <w:r/>
      <w:proofErr w:type="spellStart"/>
      <w:r/>
      <w:proofErr w:type="spellEnd"/>
      <w:r/>
    </w:p>
    <w:p w14:paraId="1C796710" w14:textId="77777777" w:rsidR="001269E5" w:rsidRDefault="001269E5">
      <w:pPr>
        <w:pStyle w:val="BodyText"/>
      </w:pPr>
    </w:p>
    <w:p w14:paraId="78737F6A" w14:textId="77777777" w:rsidR="001269E5" w:rsidRDefault="00000000">
      <w:pPr>
        <w:pStyle w:val="BodyText"/>
      </w:pPr>
      <w:r>
        <w:rPr>
          <w:b/>
        </w:rPr>
        <w:t>Figure 9. ROC Curves — Cross-Cohort Transfer (Synthetic → Framingham). Models trained on the synthetic source cohort were frozen and evaluated on the Framingham target cohort (N = 4,240). AUC drops are reported in Table 5. [Cross-reference: See also Figure 5 (calibration) and Figure 8 (robustness) for complementary domain transfer analyses.]</w:t>
      </w:r>
      <w:r>
        <w:rPr>
          <w:b/>
        </w:rPr>
      </w:r>
      <w:r>
        <w:rPr>
          <w:b/>
        </w:rPr>
      </w:r>
    </w:p>
    <w:p w14:paraId="56872A28" w14:textId="77777777" w:rsidR="001269E5" w:rsidRDefault="001269E5">
      <w:pPr>
        <w:pStyle w:val="BodyText"/>
      </w:pPr>
    </w:p>
    <w:p w14:paraId="1A6923BE" w14:textId="77777777" w:rsidR="001269E5" w:rsidRDefault="00000000">
      <w:pPr>
        <w:pStyle w:val="BodyText"/>
      </w:pPr>
      <w:r>
        <w:rPr>
          <w:b/>
        </w:rPr>
        <w:t xml:space="preserve">Table 5. External Validation. </w:t>
      </w:r>
    </w:p>
    <w:tbl>
      <w:tblPr>
        <w:tblW w:w="0" w:type="auto"/>
        <w:tblLook w:val="04A0" w:firstRow="1" w:lastRow="0" w:firstColumn="1" w:lastColumn="0" w:noHBand="0" w:noVBand="1"/>
      </w:tblPr>
      <w:tblGrid>
        <w:gridCol w:w="2368"/>
        <w:gridCol w:w="2368"/>
        <w:gridCol w:w="2368"/>
        <w:gridCol w:w="2368"/>
      </w:tblGrid>
      <w:tr w:rsidR="001269E5" w14:paraId="586A148B" w14:textId="77777777">
        <w:tc>
          <w:tcPr>
            <w:tcW w:w="2368" w:type="dxa"/>
          </w:tcPr>
          <w:p w14:paraId="4E8CE705" w14:textId="77777777" w:rsidR="001269E5" w:rsidRDefault="00000000">
            <w:r>
              <w:rPr>
                <w:b/>
              </w:rPr>
              <w:t>Model</w:t>
            </w:r>
          </w:p>
        </w:tc>
        <w:tc>
          <w:tcPr>
            <w:tcW w:w="2368" w:type="dxa"/>
          </w:tcPr>
          <w:p w14:paraId="0E879119" w14:textId="77777777" w:rsidR="001269E5" w:rsidRDefault="00000000">
            <w:r>
              <w:rPr>
                <w:b/>
              </w:rPr>
              <w:t>Source AUC</w:t>
            </w:r>
          </w:p>
        </w:tc>
        <w:tc>
          <w:tcPr>
            <w:tcW w:w="2368" w:type="dxa"/>
          </w:tcPr>
          <w:p w14:paraId="01D61D3D" w14:textId="77777777" w:rsidR="001269E5" w:rsidRDefault="00000000">
            <w:r>
              <w:rPr>
                <w:b/>
              </w:rPr>
              <w:t>Target AUC</w:t>
            </w:r>
          </w:p>
        </w:tc>
        <w:tc>
          <w:tcPr>
            <w:tcW w:w="2368" w:type="dxa"/>
          </w:tcPr>
          <w:p w14:paraId="0E2C66A2" w14:textId="77777777" w:rsidR="001269E5" w:rsidRDefault="00000000">
            <w:r>
              <w:rPr>
                <w:b/>
              </w:rPr>
              <w:t>Performance Delta</w:t>
            </w:r>
          </w:p>
        </w:tc>
      </w:tr>
      <w:tr w:rsidR="001269E5" w14:paraId="0D00A4B2" w14:textId="77777777">
        <w:tc>
          <w:tcPr>
            <w:tcW w:w="2368" w:type="dxa"/>
          </w:tcPr>
          <w:p w14:paraId="78A2F21B" w14:textId="77777777" w:rsidR="001269E5" w:rsidRDefault="00000000">
            <w:r>
              <w:t>[Insert Data]</w:t>
            </w:r>
          </w:p>
        </w:tc>
        <w:tc>
          <w:tcPr>
            <w:tcW w:w="2368" w:type="dxa"/>
          </w:tcPr>
          <w:p w14:paraId="1E2EFF4E" w14:textId="77777777" w:rsidR="001269E5" w:rsidRDefault="00000000">
            <w:r>
              <w:t>[Insert Data]</w:t>
            </w:r>
          </w:p>
        </w:tc>
        <w:tc>
          <w:tcPr>
            <w:tcW w:w="2368" w:type="dxa"/>
          </w:tcPr>
          <w:p w14:paraId="0C0512CE" w14:textId="77777777" w:rsidR="001269E5" w:rsidRDefault="00000000">
            <w:r>
              <w:t>[Insert Data]</w:t>
            </w:r>
          </w:p>
        </w:tc>
        <w:tc>
          <w:tcPr>
            <w:tcW w:w="2368" w:type="dxa"/>
          </w:tcPr>
          <w:p w14:paraId="39AF168B" w14:textId="77777777" w:rsidR="001269E5" w:rsidRDefault="00000000">
            <w:r>
              <w:t>[Insert Data]</w:t>
            </w:r>
          </w:p>
        </w:tc>
      </w:tr>
      <w:tr w:rsidR="001269E5" w14:paraId="73866A0D" w14:textId="77777777">
        <w:tc>
          <w:tcPr>
            <w:tcW w:w="2368" w:type="dxa"/>
          </w:tcPr>
          <w:p w14:paraId="6CBAFE1A" w14:textId="77777777" w:rsidR="001269E5" w:rsidRDefault="00000000">
            <w:r>
              <w:t>[Insert Data]</w:t>
            </w:r>
          </w:p>
        </w:tc>
        <w:tc>
          <w:tcPr>
            <w:tcW w:w="2368" w:type="dxa"/>
          </w:tcPr>
          <w:p w14:paraId="5CB3298C" w14:textId="77777777" w:rsidR="001269E5" w:rsidRDefault="00000000">
            <w:r>
              <w:t>[Insert Data]</w:t>
            </w:r>
          </w:p>
        </w:tc>
        <w:tc>
          <w:tcPr>
            <w:tcW w:w="2368" w:type="dxa"/>
          </w:tcPr>
          <w:p w14:paraId="604DD4AC" w14:textId="77777777" w:rsidR="001269E5" w:rsidRDefault="00000000">
            <w:r>
              <w:t>[Insert Data]</w:t>
            </w:r>
          </w:p>
        </w:tc>
        <w:tc>
          <w:tcPr>
            <w:tcW w:w="2368" w:type="dxa"/>
          </w:tcPr>
          <w:p w14:paraId="24E4AB25" w14:textId="77777777" w:rsidR="001269E5" w:rsidRDefault="00000000">
            <w:r>
              <w:t>[Insert Data]</w:t>
            </w:r>
          </w:p>
        </w:tc>
      </w:tr>
      <w:tr w:rsidR="001269E5" w14:paraId="4F29D268" w14:textId="77777777">
        <w:tc>
          <w:tcPr>
            <w:tcW w:w="2368" w:type="dxa"/>
          </w:tcPr>
          <w:p w14:paraId="069F7D19" w14:textId="77777777" w:rsidR="001269E5" w:rsidRDefault="00000000">
            <w:r>
              <w:t>[Insert Data]</w:t>
            </w:r>
          </w:p>
        </w:tc>
        <w:tc>
          <w:tcPr>
            <w:tcW w:w="2368" w:type="dxa"/>
          </w:tcPr>
          <w:p w14:paraId="2F8ECBAD" w14:textId="77777777" w:rsidR="001269E5" w:rsidRDefault="00000000">
            <w:r>
              <w:t>[Insert Data]</w:t>
            </w:r>
          </w:p>
        </w:tc>
        <w:tc>
          <w:tcPr>
            <w:tcW w:w="2368" w:type="dxa"/>
          </w:tcPr>
          <w:p w14:paraId="14286A0B" w14:textId="77777777" w:rsidR="001269E5" w:rsidRDefault="00000000">
            <w:r>
              <w:t>[Insert Data]</w:t>
            </w:r>
          </w:p>
        </w:tc>
        <w:tc>
          <w:tcPr>
            <w:tcW w:w="2368" w:type="dxa"/>
          </w:tcPr>
          <w:p w14:paraId="6D78D254" w14:textId="77777777" w:rsidR="001269E5" w:rsidRDefault="00000000">
            <w:r>
              <w:t>[Insert Data]</w:t>
            </w:r>
          </w:p>
        </w:tc>
      </w:tr>
    </w:tbl>
    <w:p w14:paraId="1279BD38" w14:textId="77777777" w:rsidR="001269E5" w:rsidRDefault="00000000">
      <w:pPr>
        <w:pStyle w:val="BodyText"/>
      </w:pPr>
      <w:r>
        <w:rPr>
          <w:b/>
        </w:rPr>
        <w:t>3.4 Calibration Results</w:t>
      </w:r>
    </w:p>
    <w:p w14:paraId="635CD439" w14:textId="77777777" w:rsidR="001269E5" w:rsidRDefault="00000000">
      <w:pPr>
        <w:pStyle w:val="BodyText"/>
      </w:pPr>
      <w:r>
        <w:t>Domain transfer caused calibration degradation. Under cross-cohort transfer, the XGBoost model's ECE rose to 0.2032 (uncalibrated). Post-hoc Platt scaling reduced this to ECE = 0.0543, and Isotonic regression achieved ECE = 0.0596. Random Forest showed the largest uncalibrated miscalibration (ECE = 0.1623), recovering to ECE = 0.0035 after Platt scaling. These results confirm that calibration recalibration is essential following domain transfer and cannot be inferred from discrimination metrics alone.</w:t>
      </w:r>
      <w:proofErr w:type="spellStart"/>
      <w:r/>
      <w:proofErr w:type="spellEnd"/>
      <w:r/>
    </w:p>
    <w:p w14:paraId="7B468876" w14:textId="77777777" w:rsidR="001269E5" w:rsidRDefault="001269E5">
      <w:pPr>
        <w:pStyle w:val="BodyText"/>
      </w:pPr>
    </w:p>
    <w:p w14:paraId="5BEE1D70" w14:textId="77777777" w:rsidR="001269E5" w:rsidRDefault="00000000">
      <w:pPr>
        <w:pStyle w:val="BodyText"/>
      </w:pPr>
      <w:r>
        <w:rPr>
          <w:b/>
        </w:rPr>
        <w:t>Figure 5. Calibration Reliability Diagrams — Internal Validation. Diagonal dashed line indicates perfect calibration. Post-hoc Platt scaling significantly reduces miscalibration across all classifiers.</w:t>
      </w:r>
      <w:r>
        <w:rPr>
          <w:b/>
        </w:rPr>
      </w:r>
      <w:r>
        <w:rPr>
          <w:b/>
        </w:rPr>
      </w:r>
    </w:p>
    <w:p w14:paraId="789C1CB6" w14:textId="77777777" w:rsidR="001269E5" w:rsidRDefault="001269E5">
      <w:pPr>
        <w:pStyle w:val="BodyText"/>
      </w:pPr>
    </w:p>
    <w:p w14:paraId="18066031" w14:textId="77777777" w:rsidR="001269E5" w:rsidRDefault="00000000">
      <w:pPr>
        <w:pStyle w:val="BodyText"/>
      </w:pPr>
      <w:r>
        <w:rPr>
          <w:b/>
        </w:rPr>
        <w:t xml:space="preserve">Table 4. Calibration Metrics. </w:t>
      </w:r>
    </w:p>
    <w:tbl>
      <w:tblPr>
        <w:tblW w:w="0" w:type="auto"/>
        <w:tblLook w:val="04A0" w:firstRow="1" w:lastRow="0" w:firstColumn="1" w:lastColumn="0" w:noHBand="0" w:noVBand="1"/>
      </w:tblPr>
      <w:tblGrid>
        <w:gridCol w:w="2368"/>
        <w:gridCol w:w="2368"/>
        <w:gridCol w:w="2368"/>
        <w:gridCol w:w="2368"/>
      </w:tblGrid>
      <w:tr w:rsidR="001269E5" w14:paraId="72F99AED" w14:textId="77777777">
        <w:tc>
          <w:tcPr>
            <w:tcW w:w="2368" w:type="dxa"/>
          </w:tcPr>
          <w:p w14:paraId="47A4E4D5" w14:textId="77777777" w:rsidR="001269E5" w:rsidRDefault="00000000">
            <w:r>
              <w:rPr>
                <w:b/>
              </w:rPr>
              <w:t>Model</w:t>
            </w:r>
          </w:p>
        </w:tc>
        <w:tc>
          <w:tcPr>
            <w:tcW w:w="2368" w:type="dxa"/>
          </w:tcPr>
          <w:p w14:paraId="1BEB9F97" w14:textId="77777777" w:rsidR="001269E5" w:rsidRDefault="00000000">
            <w:r>
              <w:rPr>
                <w:b/>
              </w:rPr>
              <w:t>Uncalibrated ECE</w:t>
            </w:r>
          </w:p>
        </w:tc>
        <w:tc>
          <w:tcPr>
            <w:tcW w:w="2368" w:type="dxa"/>
          </w:tcPr>
          <w:p w14:paraId="39562006" w14:textId="77777777" w:rsidR="001269E5" w:rsidRDefault="00000000">
            <w:r>
              <w:rPr>
                <w:b/>
              </w:rPr>
              <w:t>Platt ECE</w:t>
            </w:r>
          </w:p>
        </w:tc>
        <w:tc>
          <w:tcPr>
            <w:tcW w:w="2368" w:type="dxa"/>
          </w:tcPr>
          <w:p w14:paraId="38175A8D" w14:textId="77777777" w:rsidR="001269E5" w:rsidRDefault="00000000">
            <w:r>
              <w:rPr>
                <w:b/>
              </w:rPr>
              <w:t>Isotonic ECE</w:t>
            </w:r>
          </w:p>
        </w:tc>
      </w:tr>
      <w:tr w:rsidR="001269E5" w14:paraId="58141759" w14:textId="77777777">
        <w:tc>
          <w:tcPr>
            <w:tcW w:w="2368" w:type="dxa"/>
          </w:tcPr>
          <w:p w14:paraId="6CB96FC7" w14:textId="77777777" w:rsidR="001269E5" w:rsidRDefault="00000000">
            <w:r>
              <w:t>[Insert Data]</w:t>
            </w:r>
          </w:p>
        </w:tc>
        <w:tc>
          <w:tcPr>
            <w:tcW w:w="2368" w:type="dxa"/>
          </w:tcPr>
          <w:p w14:paraId="210224E6" w14:textId="77777777" w:rsidR="001269E5" w:rsidRDefault="00000000">
            <w:r>
              <w:t>[Insert Data]</w:t>
            </w:r>
          </w:p>
        </w:tc>
        <w:tc>
          <w:tcPr>
            <w:tcW w:w="2368" w:type="dxa"/>
          </w:tcPr>
          <w:p w14:paraId="6A4E4BEA" w14:textId="77777777" w:rsidR="001269E5" w:rsidRDefault="00000000">
            <w:r>
              <w:t>[Insert Data]</w:t>
            </w:r>
          </w:p>
        </w:tc>
        <w:tc>
          <w:tcPr>
            <w:tcW w:w="2368" w:type="dxa"/>
          </w:tcPr>
          <w:p w14:paraId="58C35155" w14:textId="77777777" w:rsidR="001269E5" w:rsidRDefault="00000000">
            <w:r>
              <w:t>[Insert Data]</w:t>
            </w:r>
          </w:p>
        </w:tc>
      </w:tr>
      <w:tr w:rsidR="001269E5" w14:paraId="725CBF93" w14:textId="77777777">
        <w:tc>
          <w:tcPr>
            <w:tcW w:w="2368" w:type="dxa"/>
          </w:tcPr>
          <w:p w14:paraId="15D099A3" w14:textId="77777777" w:rsidR="001269E5" w:rsidRDefault="00000000">
            <w:r>
              <w:t>[Insert Data]</w:t>
            </w:r>
          </w:p>
        </w:tc>
        <w:tc>
          <w:tcPr>
            <w:tcW w:w="2368" w:type="dxa"/>
          </w:tcPr>
          <w:p w14:paraId="7EA2AFB1" w14:textId="77777777" w:rsidR="001269E5" w:rsidRDefault="00000000">
            <w:r>
              <w:t>[Insert Data]</w:t>
            </w:r>
          </w:p>
        </w:tc>
        <w:tc>
          <w:tcPr>
            <w:tcW w:w="2368" w:type="dxa"/>
          </w:tcPr>
          <w:p w14:paraId="423B2352" w14:textId="77777777" w:rsidR="001269E5" w:rsidRDefault="00000000">
            <w:r>
              <w:t>[Insert Data]</w:t>
            </w:r>
          </w:p>
        </w:tc>
        <w:tc>
          <w:tcPr>
            <w:tcW w:w="2368" w:type="dxa"/>
          </w:tcPr>
          <w:p w14:paraId="71C6CABE" w14:textId="77777777" w:rsidR="001269E5" w:rsidRDefault="00000000">
            <w:r>
              <w:t>[Insert Data]</w:t>
            </w:r>
          </w:p>
        </w:tc>
      </w:tr>
      <w:tr w:rsidR="001269E5" w14:paraId="4D2E59ED" w14:textId="77777777">
        <w:tc>
          <w:tcPr>
            <w:tcW w:w="2368" w:type="dxa"/>
          </w:tcPr>
          <w:p w14:paraId="6B2E619C" w14:textId="77777777" w:rsidR="001269E5" w:rsidRDefault="00000000">
            <w:r>
              <w:t>[Insert Data]</w:t>
            </w:r>
          </w:p>
        </w:tc>
        <w:tc>
          <w:tcPr>
            <w:tcW w:w="2368" w:type="dxa"/>
          </w:tcPr>
          <w:p w14:paraId="6D639D92" w14:textId="77777777" w:rsidR="001269E5" w:rsidRDefault="00000000">
            <w:r>
              <w:t>[Insert Data]</w:t>
            </w:r>
          </w:p>
        </w:tc>
        <w:tc>
          <w:tcPr>
            <w:tcW w:w="2368" w:type="dxa"/>
          </w:tcPr>
          <w:p w14:paraId="21A0ECA4" w14:textId="77777777" w:rsidR="001269E5" w:rsidRDefault="00000000">
            <w:r>
              <w:t>[Insert Data]</w:t>
            </w:r>
          </w:p>
        </w:tc>
        <w:tc>
          <w:tcPr>
            <w:tcW w:w="2368" w:type="dxa"/>
          </w:tcPr>
          <w:p w14:paraId="35A31A22" w14:textId="77777777" w:rsidR="001269E5" w:rsidRDefault="00000000">
            <w:r>
              <w:t>[Insert Data]</w:t>
            </w:r>
          </w:p>
        </w:tc>
      </w:tr>
    </w:tbl>
    <w:p w14:paraId="063CAF32" w14:textId="77777777" w:rsidR="001269E5" w:rsidRDefault="00000000">
      <w:pPr>
        <w:pStyle w:val="BodyText"/>
      </w:pPr>
      <w:r>
        <w:rPr>
          <w:b/>
        </w:rPr>
        <w:t>3.5 Explainability Results</w:t>
      </w:r>
    </w:p>
    <w:p w14:paraId="6119B953" w14:textId="77777777" w:rsidR="001269E5" w:rsidRDefault="00000000">
      <w:pPr>
        <w:pStyle w:val="BodyText"/>
      </w:pPr>
      <w:r>
        <w:t>SHAP attributions demonstrated stability within the source cohort but shifted under cross-cohort transfer. The Feature Agreement Score (FAS) for the Decision Tree fell to −0.333, indicating significant disagreement between SHAP, permutation importance, and native importances. Logistic Regression achieved FAS = 0.667. All models achieved Jaccard Top-k Overlap (TkO) = 1.0, indicating consistent identification of the top-3 features (age, BMI, smoking status) across all attribution methods. SHAP ranking stability across five random seeds was perfect (mean Spearman ρ = 1.000, SD = 0.000), confirming explanation reproducibility.</w:t>
      </w:r>
      <w:proofErr w:type="spellStart"/>
      <w:r/>
      <w:proofErr w:type="spellEnd"/>
      <w:r/>
      <w:proofErr w:type="spellStart"/>
      <w:r/>
      <w:proofErr w:type="spellEnd"/>
      <w:r/>
    </w:p>
    <w:p w14:paraId="32E78CC7" w14:textId="77777777" w:rsidR="001269E5" w:rsidRDefault="001269E5">
      <w:pPr>
        <w:pStyle w:val="BodyText"/>
      </w:pPr>
    </w:p>
    <w:p w14:paraId="78109025" w14:textId="77777777" w:rsidR="001269E5" w:rsidRDefault="00000000">
      <w:pPr>
        <w:pStyle w:val="BodyText"/>
      </w:pPr>
      <w:r>
        <w:rPr>
          <w:b/>
        </w:rPr>
        <w:t>Figure 6. SHAP Beeswarm Plot — Random Forest (Cross-Cohort, Mode 4). Feature attributions for the three harmonized features (age, BMI, smoking status) on the Framingham validation cohort (N = 4,240).</w:t>
      </w:r>
      <w:r>
        <w:rPr>
          <w:b/>
        </w:rPr>
      </w:r>
      <w:r>
        <w:rPr>
          <w:b/>
        </w:rPr>
      </w:r>
    </w:p>
    <w:p w14:paraId="221CCBF2" w14:textId="77777777" w:rsidR="001269E5" w:rsidRDefault="00000000">
      <w:pPr>
        <w:pStyle w:val="BodyText"/>
      </w:pPr>
      <w:r>
        <w:rPr>
          <w:b/>
        </w:rPr>
        <w:t>3.6 Robustness Results</w:t>
      </w:r>
    </w:p>
    <w:p w14:paraId="45C8D9D5" w14:textId="77777777" w:rsidR="001269E5" w:rsidRDefault="00000000">
      <w:pPr>
        <w:pStyle w:val="BodyText"/>
      </w:pPr>
      <w:r>
        <w:t>Perturbation testing defined clear operational safety boundaries. All evaluated models achieved Clinical-Grade robustness scores: Logistic Regression = 0.996, XGBoost = 0.993, Random Forest = 0.937. Under noise and missingness sweeps, Logistic Regression and XGBoost maintained perfect noise retention (1.000) with missing data retention of 0.974 and 1.000 respectively at 20% MCAR rate. Cross-cohort stability scores ranged from 0.935 (Random Forest) to 1.000 (Logistic Regression), quantifying the extent of performance preservation under domain shift (Table 6, Figure 8).</w:t>
      </w:r>
      <w:proofErr w:type="spellStart"/>
      <w:r/>
      <w:proofErr w:type="spellEnd"/>
      <w:r/>
    </w:p>
    <w:p w14:paraId="45598ED4" w14:textId="77777777" w:rsidR="001269E5" w:rsidRDefault="001269E5">
      <w:pPr>
        <w:pStyle w:val="BodyText"/>
      </w:pPr>
    </w:p>
    <w:p w14:paraId="17C93BAD" w14:textId="77777777" w:rsidR="001269E5" w:rsidRDefault="00000000">
      <w:pPr>
        <w:pStyle w:val="BodyText"/>
      </w:pPr>
      <w:r>
        <w:rPr>
          <w:b/>
        </w:rPr>
        <w:t>Figure 8. Robustness Degradation Curves — Random Forest (Cross-Cohort Mode 4). Left: AUC under Gaussian noise perturbation. Right: AUC under MCAR missingness injection. All models maintained Clinical-Grade robustness scores ≥ 0.937.</w:t>
      </w:r>
      <w:r>
        <w:rPr>
          <w:b/>
        </w:rPr>
      </w:r>
      <w:r>
        <w:rPr>
          <w:b/>
        </w:rPr>
      </w:r>
    </w:p>
    <w:p w14:paraId="78415FDF" w14:textId="77777777" w:rsidR="001269E5" w:rsidRDefault="001269E5">
      <w:pPr>
        <w:pStyle w:val="BodyText"/>
      </w:pPr>
    </w:p>
    <w:p w14:paraId="7F07DE53" w14:textId="77777777" w:rsidR="001269E5" w:rsidRDefault="00000000">
      <w:pPr>
        <w:pStyle w:val="BodyText"/>
      </w:pPr>
      <w:r>
        <w:rPr>
          <w:b/>
        </w:rPr>
        <w:t xml:space="preserve">Table 6. Robustness Results. </w:t>
      </w:r>
    </w:p>
    <w:tbl>
      <w:tblPr>
        <w:tblW w:w="0" w:type="auto"/>
        <w:tblLook w:val="04A0" w:firstRow="1" w:lastRow="0" w:firstColumn="1" w:lastColumn="0" w:noHBand="0" w:noVBand="1"/>
      </w:tblPr>
      <w:tblGrid>
        <w:gridCol w:w="2368"/>
        <w:gridCol w:w="2368"/>
        <w:gridCol w:w="2368"/>
        <w:gridCol w:w="2368"/>
      </w:tblGrid>
      <w:tr w:rsidR="001269E5" w14:paraId="2E8A0B39" w14:textId="77777777">
        <w:tc>
          <w:tcPr>
            <w:tcW w:w="2368" w:type="dxa"/>
          </w:tcPr>
          <w:p w14:paraId="6BE92124" w14:textId="77777777" w:rsidR="001269E5" w:rsidRDefault="00000000">
            <w:r>
              <w:rPr>
                <w:b/>
              </w:rPr>
              <w:t>Model</w:t>
            </w:r>
          </w:p>
        </w:tc>
        <w:tc>
          <w:tcPr>
            <w:tcW w:w="2368" w:type="dxa"/>
          </w:tcPr>
          <w:p w14:paraId="69A9602E" w14:textId="77777777" w:rsidR="001269E5" w:rsidRDefault="00000000">
            <w:r>
              <w:rPr>
                <w:b/>
              </w:rPr>
              <w:t>Noise Tolerance (Sigma)</w:t>
            </w:r>
          </w:p>
        </w:tc>
        <w:tc>
          <w:tcPr>
            <w:tcW w:w="2368" w:type="dxa"/>
          </w:tcPr>
          <w:p w14:paraId="21DBB987" w14:textId="77777777" w:rsidR="001269E5" w:rsidRDefault="00000000">
            <w:r>
              <w:rPr>
                <w:b/>
              </w:rPr>
              <w:t>Missingness Threshold (%)</w:t>
            </w:r>
          </w:p>
        </w:tc>
        <w:tc>
          <w:tcPr>
            <w:tcW w:w="2368" w:type="dxa"/>
          </w:tcPr>
          <w:p w14:paraId="05692A57" w14:textId="77777777" w:rsidR="001269E5" w:rsidRDefault="00000000">
            <w:r>
              <w:rPr>
                <w:b/>
              </w:rPr>
              <w:t>Failure Boundary</w:t>
            </w:r>
          </w:p>
        </w:tc>
      </w:tr>
      <w:tr w:rsidR="001269E5" w14:paraId="5224AA80" w14:textId="77777777">
        <w:tc>
          <w:tcPr>
            <w:tcW w:w="2368" w:type="dxa"/>
          </w:tcPr>
          <w:p w14:paraId="00DD455B" w14:textId="77777777" w:rsidR="001269E5" w:rsidRDefault="00000000">
            <w:r>
              <w:t>[Insert Data]</w:t>
            </w:r>
          </w:p>
        </w:tc>
        <w:tc>
          <w:tcPr>
            <w:tcW w:w="2368" w:type="dxa"/>
          </w:tcPr>
          <w:p w14:paraId="43BA57A6" w14:textId="77777777" w:rsidR="001269E5" w:rsidRDefault="00000000">
            <w:r>
              <w:t>[Insert Data]</w:t>
            </w:r>
          </w:p>
        </w:tc>
        <w:tc>
          <w:tcPr>
            <w:tcW w:w="2368" w:type="dxa"/>
          </w:tcPr>
          <w:p w14:paraId="5EC15FDC" w14:textId="77777777" w:rsidR="001269E5" w:rsidRDefault="00000000">
            <w:r>
              <w:t>[Insert Data]</w:t>
            </w:r>
          </w:p>
        </w:tc>
        <w:tc>
          <w:tcPr>
            <w:tcW w:w="2368" w:type="dxa"/>
          </w:tcPr>
          <w:p w14:paraId="3B875716" w14:textId="77777777" w:rsidR="001269E5" w:rsidRDefault="00000000">
            <w:r>
              <w:t>[Insert Data]</w:t>
            </w:r>
          </w:p>
        </w:tc>
      </w:tr>
      <w:tr w:rsidR="001269E5" w14:paraId="45BB0414" w14:textId="77777777">
        <w:tc>
          <w:tcPr>
            <w:tcW w:w="2368" w:type="dxa"/>
          </w:tcPr>
          <w:p w14:paraId="63ADE397" w14:textId="77777777" w:rsidR="001269E5" w:rsidRDefault="00000000">
            <w:r>
              <w:t>[Insert Data]</w:t>
            </w:r>
          </w:p>
        </w:tc>
        <w:tc>
          <w:tcPr>
            <w:tcW w:w="2368" w:type="dxa"/>
          </w:tcPr>
          <w:p w14:paraId="2100F1B2" w14:textId="77777777" w:rsidR="001269E5" w:rsidRDefault="00000000">
            <w:r>
              <w:t>[Insert Data]</w:t>
            </w:r>
          </w:p>
        </w:tc>
        <w:tc>
          <w:tcPr>
            <w:tcW w:w="2368" w:type="dxa"/>
          </w:tcPr>
          <w:p w14:paraId="3C450B56" w14:textId="77777777" w:rsidR="001269E5" w:rsidRDefault="00000000">
            <w:r>
              <w:t>[Insert Data]</w:t>
            </w:r>
          </w:p>
        </w:tc>
        <w:tc>
          <w:tcPr>
            <w:tcW w:w="2368" w:type="dxa"/>
          </w:tcPr>
          <w:p w14:paraId="3FD0BBA2" w14:textId="77777777" w:rsidR="001269E5" w:rsidRDefault="00000000">
            <w:r>
              <w:t>[Insert Data]</w:t>
            </w:r>
          </w:p>
        </w:tc>
      </w:tr>
      <w:tr w:rsidR="001269E5" w14:paraId="1072F55F" w14:textId="77777777">
        <w:tc>
          <w:tcPr>
            <w:tcW w:w="2368" w:type="dxa"/>
          </w:tcPr>
          <w:p w14:paraId="32983F05" w14:textId="77777777" w:rsidR="001269E5" w:rsidRDefault="00000000">
            <w:r>
              <w:t>[Insert Data]</w:t>
            </w:r>
          </w:p>
        </w:tc>
        <w:tc>
          <w:tcPr>
            <w:tcW w:w="2368" w:type="dxa"/>
          </w:tcPr>
          <w:p w14:paraId="15B66ECC" w14:textId="77777777" w:rsidR="001269E5" w:rsidRDefault="00000000">
            <w:r>
              <w:t>[Insert Data]</w:t>
            </w:r>
          </w:p>
        </w:tc>
        <w:tc>
          <w:tcPr>
            <w:tcW w:w="2368" w:type="dxa"/>
          </w:tcPr>
          <w:p w14:paraId="12C542A2" w14:textId="77777777" w:rsidR="001269E5" w:rsidRDefault="00000000">
            <w:r>
              <w:t>[Insert Data]</w:t>
            </w:r>
          </w:p>
        </w:tc>
        <w:tc>
          <w:tcPr>
            <w:tcW w:w="2368" w:type="dxa"/>
          </w:tcPr>
          <w:p w14:paraId="3499EF02" w14:textId="77777777" w:rsidR="001269E5" w:rsidRDefault="00000000">
            <w:r>
              <w:t>[Insert Data]</w:t>
            </w:r>
          </w:p>
        </w:tc>
      </w:tr>
    </w:tbl>
    <w:p w14:paraId="253C0898" w14:textId="77777777" w:rsidR="001269E5" w:rsidRDefault="00000000">
      <w:pPr>
        <w:pStyle w:val="BodyText"/>
      </w:pPr>
      <w:r>
        <w:rPr>
          <w:b/>
        </w:rPr>
        <w:t>3.7 Clinical Utility Results</w:t>
      </w:r>
    </w:p>
    <w:p w14:paraId="0B2262D9" w14:textId="77777777" w:rsidR="001269E5" w:rsidRDefault="00000000">
      <w:pPr>
        <w:pStyle w:val="BodyText"/>
      </w:pPr>
      <w:r>
        <w:t>Decision Curve Analysis (Figure 7) confirmed that using calibrated models provides positive Net Benefit over both the Treat-All and Treat-None clinical strategies across threshold probabilities from 0.05 to 0.35. XGBoost and Logistic Regression demonstrated the highest Net Benefit at clinically relevant thresholds (Pt = 0.10–0.20), supporting their utility for selective high-risk patient referral. The Net Benefit advantage persisted after Platt scaling recalibration, confirming that calibration and clinical utility are complementary audit dimensions that cannot be evaluated independently.</w:t>
      </w:r>
      <w:proofErr w:type="spellStart"/>
      <w:r/>
      <w:proofErr w:type="spellEnd"/>
      <w:r/>
    </w:p>
    <w:p w14:paraId="4136D814" w14:textId="77777777" w:rsidR="001269E5" w:rsidRDefault="001269E5">
      <w:pPr>
        <w:pStyle w:val="BodyText"/>
      </w:pPr>
    </w:p>
    <w:p w14:paraId="700C4869" w14:textId="77777777" w:rsidR="001269E5" w:rsidRDefault="00000000">
      <w:pPr>
        <w:pStyle w:val="BodyText"/>
      </w:pPr>
      <w:r>
        <w:rPr>
          <w:b/>
        </w:rPr>
        <w:t>Figure 7. Decision Curve Analysis — Internal Validation. Net Benefit of calibrated classifiers versus Treat-All and Treat-None strategies across clinically relevant decision thresholds (Pt = 0.05–0.50).</w:t>
      </w:r>
      <w:r>
        <w:rPr>
          <w:b/>
        </w:rPr>
      </w:r>
      <w:r>
        <w:rPr>
          <w:b/>
        </w:rPr>
      </w:r>
      <w:r>
        <w:rPr>
          <w:b/>
        </w:rPr>
      </w:r>
    </w:p>
    <w:p w14:paraId="799E2EE7" w14:textId="77777777" w:rsidR="001269E5" w:rsidRDefault="00000000">
      <w:pPr>
        <w:pStyle w:val="BodyText"/>
      </w:pPr>
      <w:r>
        <w:rPr>
          <w:b/>
        </w:rPr>
        <w:t>3.8 Demographic Subgroup Auditing &amp; Fairness</w:t>
      </w:r>
    </w:p>
    <w:p w14:paraId="447A5159" w14:textId="77777777" w:rsidR="001269E5" w:rsidRDefault="00000000">
      <w:pPr>
        <w:pStyle w:val="BodyText"/>
      </w:pPr>
      <w:r>
        <w:t>Subgroup analysis revealed that calibration performance was broadly consistent across age tertiles and smoking status groups, with no single subgroup showing catastrophic ECE degradation. XGBoost demonstrated low ECE across all subgroups within the source cohort. However, external validation revealed that older age groups (≥65 years) experienced slightly higher miscalibration under cross-cohort transfer, consistent with the known age-distribution shift between the synthetic (age range 40–85) and Framingham (age range 32–70) cohorts.</w:t>
      </w:r>
      <w:proofErr w:type="spellStart"/>
      <w:r/>
      <w:proofErr w:type="spellEnd"/>
      <w:r/>
    </w:p>
    <w:p w14:paraId="238F9FDF" w14:textId="77777777" w:rsidR="001269E5" w:rsidRDefault="001269E5">
      <w:pPr>
        <w:pStyle w:val="BodyText"/>
      </w:pPr>
    </w:p>
    <w:p w14:paraId="57F4EE00" w14:textId="77777777" w:rsidR="001269E5" w:rsidRDefault="00000000">
      <w:pPr>
        <w:pStyle w:val="BodyText"/>
      </w:pPr>
      <w:r>
        <w:rPr>
          <w:b/>
        </w:rPr>
        <w:t>Table 9. Subgroup Auditing Results (see docs/manuscript/tables/table_9_subgroup_auditing.csv). Subgroup-stratified XGBoost AUC, Calibration ECE, and FAS (Spearman rho) on the Framingham validation cohort (N=4,240). Age: Young N=1427 AUC=0.552 ECE=0.083 FAS=0.5 | Middle N=1496 AUC=0.549 ECE=0.125 FAS=0.5 | Older N=1317 AUC=0.497 ECE=0.114 FAS=0.5. Smoking: Non-Smoker N=2145 AUC=0.541 ECE=0.035 FAS=0.5 | Smoker N=2095 AUC=0.602 ECE=0.138 FAS=1.0. BMI: Low N=1417 AUC=0.596 ECE=0.087 FAS=0.5 | Normal N=1411 AUC=0.596 ECE=0.094 FAS=1.0 | High N=1412 AUC=0.539 ECE=0.096 FAS=1.0. Key finding: Older age group shows lowest discrimination (AUC=0.497) and FAS=0.5 (Partial stability), confirming age-distribution shift as the primary source of cross-cohort audit concern.</w:t>
      </w:r>
    </w:p>
    <w:tbl>
      <w:tblPr>
        <w:tblW w:w="0" w:type="auto"/>
        <w:tblLook w:val="04A0" w:firstRow="1" w:lastRow="0" w:firstColumn="1" w:lastColumn="0" w:noHBand="0" w:noVBand="1"/>
      </w:tblPr>
      <w:tblGrid>
        <w:gridCol w:w="1895"/>
        <w:gridCol w:w="1895"/>
        <w:gridCol w:w="1895"/>
        <w:gridCol w:w="1895"/>
        <w:gridCol w:w="1895"/>
      </w:tblGrid>
      <w:tr w:rsidR="001269E5" w14:paraId="466CF752" w14:textId="77777777">
        <w:tc>
          <w:tcPr>
            <w:tcW w:w="1895" w:type="dxa"/>
          </w:tcPr>
          <w:p w14:paraId="6A5B547B" w14:textId="77777777" w:rsidR="001269E5" w:rsidRDefault="00000000">
            <w:r>
              <w:rPr>
                <w:b/>
              </w:rPr>
              <w:t>Subgroup Variable</w:t>
            </w:r>
          </w:p>
        </w:tc>
        <w:tc>
          <w:tcPr>
            <w:tcW w:w="1895" w:type="dxa"/>
          </w:tcPr>
          <w:p w14:paraId="4CC4F4C2" w14:textId="77777777" w:rsidR="001269E5" w:rsidRDefault="00000000">
            <w:r>
              <w:rPr>
                <w:b/>
              </w:rPr>
              <w:t>Subgroup Class</w:t>
            </w:r>
          </w:p>
        </w:tc>
        <w:tc>
          <w:tcPr>
            <w:tcW w:w="1895" w:type="dxa"/>
          </w:tcPr>
          <w:p w14:paraId="3AEE9CE7" w14:textId="77777777" w:rsidR="001269E5" w:rsidRDefault="00000000">
            <w:proofErr w:type="spellStart"/>
            <w:r>
              <w:rPr>
                <w:b/>
              </w:rPr>
              <w:t>XGBoost</w:t>
            </w:r>
            <w:proofErr w:type="spellEnd"/>
            <w:r>
              <w:rPr>
                <w:b/>
              </w:rPr>
              <w:t xml:space="preserve"> AUC</w:t>
            </w:r>
          </w:p>
        </w:tc>
        <w:tc>
          <w:tcPr>
            <w:tcW w:w="1895" w:type="dxa"/>
          </w:tcPr>
          <w:p w14:paraId="6F062F5E" w14:textId="77777777" w:rsidR="001269E5" w:rsidRDefault="00000000">
            <w:r>
              <w:rPr>
                <w:b/>
              </w:rPr>
              <w:t>Calibration ECE</w:t>
            </w:r>
          </w:p>
        </w:tc>
        <w:tc>
          <w:tcPr>
            <w:tcW w:w="1895" w:type="dxa"/>
          </w:tcPr>
          <w:p w14:paraId="5B54271A" w14:textId="77777777" w:rsidR="001269E5" w:rsidRDefault="00000000">
            <w:r>
              <w:rPr>
                <w:b/>
              </w:rPr>
              <w:t>FAS Metric</w:t>
            </w:r>
          </w:p>
        </w:tc>
      </w:tr>
      <w:tr w:rsidR="001269E5" w14:paraId="16D8D441" w14:textId="77777777">
        <w:tc>
          <w:tcPr>
            <w:tcW w:w="1895" w:type="dxa"/>
          </w:tcPr>
          <w:p w14:paraId="5D58EDB0" w14:textId="77777777" w:rsidR="001269E5" w:rsidRDefault="00000000">
            <w:r>
              <w:t>[Insert Data]</w:t>
            </w:r>
          </w:p>
        </w:tc>
        <w:tc>
          <w:tcPr>
            <w:tcW w:w="1895" w:type="dxa"/>
          </w:tcPr>
          <w:p w14:paraId="37A35E2B" w14:textId="77777777" w:rsidR="001269E5" w:rsidRDefault="00000000">
            <w:r>
              <w:t>[Insert Data]</w:t>
            </w:r>
          </w:p>
        </w:tc>
        <w:tc>
          <w:tcPr>
            <w:tcW w:w="1895" w:type="dxa"/>
          </w:tcPr>
          <w:p w14:paraId="11605A4F" w14:textId="77777777" w:rsidR="001269E5" w:rsidRDefault="00000000">
            <w:r>
              <w:t>[Insert Data]</w:t>
            </w:r>
          </w:p>
        </w:tc>
        <w:tc>
          <w:tcPr>
            <w:tcW w:w="1895" w:type="dxa"/>
          </w:tcPr>
          <w:p w14:paraId="38755580" w14:textId="77777777" w:rsidR="001269E5" w:rsidRDefault="00000000">
            <w:r>
              <w:t>[Insert Data]</w:t>
            </w:r>
          </w:p>
        </w:tc>
        <w:tc>
          <w:tcPr>
            <w:tcW w:w="1895" w:type="dxa"/>
          </w:tcPr>
          <w:p w14:paraId="085DF050" w14:textId="77777777" w:rsidR="001269E5" w:rsidRDefault="00000000">
            <w:r>
              <w:t>[Insert Data]</w:t>
            </w:r>
          </w:p>
        </w:tc>
      </w:tr>
      <w:tr w:rsidR="001269E5" w14:paraId="63D7FC64" w14:textId="77777777">
        <w:tc>
          <w:tcPr>
            <w:tcW w:w="1895" w:type="dxa"/>
          </w:tcPr>
          <w:p w14:paraId="17537504" w14:textId="77777777" w:rsidR="001269E5" w:rsidRDefault="00000000">
            <w:r>
              <w:t>[Insert Data]</w:t>
            </w:r>
          </w:p>
        </w:tc>
        <w:tc>
          <w:tcPr>
            <w:tcW w:w="1895" w:type="dxa"/>
          </w:tcPr>
          <w:p w14:paraId="77BCE527" w14:textId="77777777" w:rsidR="001269E5" w:rsidRDefault="00000000">
            <w:r>
              <w:t>[Insert Data]</w:t>
            </w:r>
          </w:p>
        </w:tc>
        <w:tc>
          <w:tcPr>
            <w:tcW w:w="1895" w:type="dxa"/>
          </w:tcPr>
          <w:p w14:paraId="24B00D0B" w14:textId="77777777" w:rsidR="001269E5" w:rsidRDefault="00000000">
            <w:r>
              <w:t>[Insert Data]</w:t>
            </w:r>
          </w:p>
        </w:tc>
        <w:tc>
          <w:tcPr>
            <w:tcW w:w="1895" w:type="dxa"/>
          </w:tcPr>
          <w:p w14:paraId="10F12CDA" w14:textId="77777777" w:rsidR="001269E5" w:rsidRDefault="00000000">
            <w:r>
              <w:t>[Insert Data]</w:t>
            </w:r>
          </w:p>
        </w:tc>
        <w:tc>
          <w:tcPr>
            <w:tcW w:w="1895" w:type="dxa"/>
          </w:tcPr>
          <w:p w14:paraId="0F52501C" w14:textId="77777777" w:rsidR="001269E5" w:rsidRDefault="00000000">
            <w:r>
              <w:t>[Insert Data]</w:t>
            </w:r>
          </w:p>
        </w:tc>
      </w:tr>
      <w:tr w:rsidR="001269E5" w14:paraId="019D2D9B" w14:textId="77777777">
        <w:tc>
          <w:tcPr>
            <w:tcW w:w="1895" w:type="dxa"/>
          </w:tcPr>
          <w:p w14:paraId="6FFA6756" w14:textId="77777777" w:rsidR="001269E5" w:rsidRDefault="00000000">
            <w:r>
              <w:t>[Insert Data]</w:t>
            </w:r>
          </w:p>
        </w:tc>
        <w:tc>
          <w:tcPr>
            <w:tcW w:w="1895" w:type="dxa"/>
          </w:tcPr>
          <w:p w14:paraId="745B345E" w14:textId="77777777" w:rsidR="001269E5" w:rsidRDefault="00000000">
            <w:r>
              <w:t>[Insert Data]</w:t>
            </w:r>
          </w:p>
        </w:tc>
        <w:tc>
          <w:tcPr>
            <w:tcW w:w="1895" w:type="dxa"/>
          </w:tcPr>
          <w:p w14:paraId="69F4EA2A" w14:textId="77777777" w:rsidR="001269E5" w:rsidRDefault="00000000">
            <w:r>
              <w:t>[Insert Data]</w:t>
            </w:r>
          </w:p>
        </w:tc>
        <w:tc>
          <w:tcPr>
            <w:tcW w:w="1895" w:type="dxa"/>
          </w:tcPr>
          <w:p w14:paraId="73C83C60" w14:textId="77777777" w:rsidR="001269E5" w:rsidRDefault="00000000">
            <w:r>
              <w:t>[Insert Data]</w:t>
            </w:r>
          </w:p>
        </w:tc>
        <w:tc>
          <w:tcPr>
            <w:tcW w:w="1895" w:type="dxa"/>
          </w:tcPr>
          <w:p w14:paraId="63C11706" w14:textId="77777777" w:rsidR="001269E5" w:rsidRDefault="00000000">
            <w:r>
              <w:t>[Insert Data]</w:t>
            </w:r>
          </w:p>
        </w:tc>
      </w:tr>
    </w:tbl>
    <w:p w14:paraId="05EB406B" w14:textId="77777777" w:rsidR="001269E5" w:rsidRDefault="001269E5">
      <w:pPr>
        <w:pStyle w:val="BodyText"/>
      </w:pPr>
    </w:p>
    <w:p w14:paraId="2D1309B0" w14:textId="77777777" w:rsidR="001269E5" w:rsidRDefault="00000000">
      <w:pPr>
        <w:pStyle w:val="Heading1"/>
      </w:pPr>
      <w:r>
        <w:t>4. Discussion</w:t>
      </w:r>
    </w:p>
    <w:p w14:paraId="4E67687B" w14:textId="77777777" w:rsidR="001269E5" w:rsidRDefault="00000000">
      <w:pPr>
        <w:pStyle w:val="BodyText"/>
      </w:pPr>
      <w:r>
        <w:t>In this study, we presented AETHEL, a reproducible open-science framework designed to audit the transportability, calibration, explainability, and robustness of clinical machine learning models. The application of the framework to cardiovascular cohorts revealed critical insights that highlight the limitations of current model validation practices.</w:t>
      </w:r>
    </w:p>
    <w:p w14:paraId="7020126E" w14:textId="77777777" w:rsidR="001269E5" w:rsidRDefault="00000000">
      <w:pPr>
        <w:pStyle w:val="BodyText"/>
      </w:pPr>
      <w:r>
        <w:rPr>
          <w:b/>
        </w:rPr>
        <w:t>4.1 Principal Findings</w:t>
      </w:r>
    </w:p>
    <w:p w14:paraId="19700318" w14:textId="77777777" w:rsidR="001269E5" w:rsidRDefault="00000000">
      <w:pPr>
        <w:pStyle w:val="BodyText"/>
      </w:pPr>
      <w:r>
        <w:t xml:space="preserve">Our primary finding is that post-hoc calibration methods can successfully recover target-level calibration under transfer, reducing ECE without affecting discriminative accuracy. However, local feature attributions (SHAP values) are highly vulnerable to covariate shift, even when model discrimination remains acceptable. This explainability drift, quantified by the FAS and </w:t>
      </w:r>
      <w:proofErr w:type="spellStart"/>
      <w:r>
        <w:t>TkO</w:t>
      </w:r>
      <w:proofErr w:type="spellEnd"/>
      <w:r>
        <w:t xml:space="preserve"> metrics, indicates that XAI-based clinical justifications should be monitored continuously post-deployment.</w:t>
      </w:r>
    </w:p>
    <w:p w14:paraId="79337061" w14:textId="77777777" w:rsidR="001269E5" w:rsidRDefault="00000000">
      <w:pPr>
        <w:pStyle w:val="BodyText"/>
      </w:pPr>
      <w:r>
        <w:rPr>
          <w:b/>
        </w:rPr>
        <w:t>4.2 Comparison with Previous Work</w:t>
      </w:r>
    </w:p>
    <w:p w14:paraId="456B3013" w14:textId="77777777" w:rsidR="001269E5" w:rsidRDefault="00000000">
      <w:pPr>
        <w:pStyle w:val="BodyText"/>
      </w:pPr>
      <w:r>
        <w:t xml:space="preserve">Several lines of prior work inform but do not subsume the AETHEL contribution. Guo et al. (2017) established Expected Calibration Error (ECE) and temperature scaling as the standard for post-hoc probability correction; however, their evaluation assumes that validation and deployment datasets are drawn from the same underlying distribution (IID). AETHEL extends this paradigm by auditing calibration explicitly under domain shift, quantifying ECE degradation across cohort transfer and automating post-hoc recalibration using both Platt scaling and Isotonic regression within the same reproducible pipeline. Niculescu-Mizil and Caruana (2005) demonstrated that tree-based models are systematically miscalibrated, a finding our results corroborate: Random Forest and XGBoost showed uncalibrated ECE of 0.162 and 0.203 respectively, reduced to 0.004 and 0.054 after Platt scaling. </w:t>
        <w:br/>
        <w:br/>
        <w:t xml:space="preserve">In explainability, Lundberg and Lee (2017) introduced SHAP values as a unified framework for local model attribution. Adadi and Berrada (2018) and Arrieta et al. (2020) surveyed the broader XAI landscape, noting the gap between theoretical interpretability and clinical deployment. Doshi-Velez and Kim (2017) argued that interpretability must be evaluated rigorously, not assumed. AETHEL operationalises this argument by introducing the Feature Agreement Score (FAS) and Top-k Overlap (TkO) — quantitative metrics that assess whether SHAP attributions, permutation importance, and native feature importances agree under covariate shift, producing the first cross-cohort XAI stability audit embedded in a reproducible clinical pipeline. </w:t>
        <w:br/>
        <w:br/>
        <w:t xml:space="preserve">For clinical utility, Steyerberg et al. (2010) and Van Calster et al. (2024) established Decision Curve Analysis (DCA) as the gold standard for evaluating Net Benefit across decision thresholds. Despite strong methodological advocacy, DCA remains rarely implemented at the bedside (Venn et al., 2008). AETHEL bridges this gap by projecting Net Benefit curves into 100-cell consequence waffle charts, translating abstract probability thresholds into absolute patient counts that clinical staff can interpret directly. </w:t>
        <w:br/>
        <w:br/>
        <w:t>Regarding external validation, Collins et al. (2024) and Riley et al. (2021) define rigorous requirements for transportability of clinical prediction models, including minimum sample sizes and AUC precision bounds. Royston and Altman (2013) further demonstrated that internal validation routinely overestimates generalisability. AETHEL directly implements these guidelines: models are frozen after source training and evaluated unmodified on the Framingham target cohort, with bootstrap confidence intervals and AUC degradation explicitly reported. Lekadir et al. (2022) and the FUTURE-AI consortium (Ning et al., 2024) articulate a trustworthy AI roadmap for clinical systems; AETHEL provides a concrete executable instantiation of their principles. Collins et al. (TRIPOD+AI, 2024) and DECIDE-AI (2022) define reporting standards for AI-driven clinical decision support — AETHEL generates TRIPOD+AI-aligned audit reports automatically as part of its pipeline output.</w:t>
      </w:r>
      <w:proofErr w:type="spellStart"/>
      <w:r/>
      <w:proofErr w:type="spellEnd"/>
      <w:r/>
    </w:p>
    <w:p w14:paraId="3C20260A" w14:textId="77777777" w:rsidR="001269E5" w:rsidRDefault="001269E5">
      <w:pPr>
        <w:pStyle w:val="BodyText"/>
      </w:pPr>
    </w:p>
    <w:p w14:paraId="38601F01" w14:textId="77777777" w:rsidR="001269E5" w:rsidRDefault="00000000">
      <w:pPr>
        <w:pStyle w:val="BodyText"/>
      </w:pPr>
      <w:r>
        <w:rPr>
          <w:b/>
        </w:rPr>
        <w:t xml:space="preserve">Table 7. Literature Comparison. </w:t>
      </w:r>
    </w:p>
    <w:tbl>
      <w:tblPr>
        <w:tblW w:w="0" w:type="auto"/>
        <w:tblLook w:val="04A0" w:firstRow="1" w:lastRow="0" w:firstColumn="1" w:lastColumn="0" w:noHBand="0" w:noVBand="1"/>
      </w:tblPr>
      <w:tblGrid>
        <w:gridCol w:w="2368"/>
        <w:gridCol w:w="2368"/>
        <w:gridCol w:w="2368"/>
        <w:gridCol w:w="2368"/>
      </w:tblGrid>
      <w:tr w:rsidR="001269E5" w14:paraId="4377D399" w14:textId="77777777">
        <w:tc>
          <w:tcPr>
            <w:tcW w:w="2368" w:type="dxa"/>
          </w:tcPr>
          <w:p w14:paraId="5A924D3E" w14:textId="77777777" w:rsidR="001269E5" w:rsidRDefault="00000000">
            <w:r>
              <w:rPr>
                <w:b/>
              </w:rPr>
              <w:t>Reference</w:t>
            </w:r>
          </w:p>
        </w:tc>
        <w:tc>
          <w:tcPr>
            <w:tcW w:w="2368" w:type="dxa"/>
          </w:tcPr>
          <w:p w14:paraId="39AA223C" w14:textId="77777777" w:rsidR="001269E5" w:rsidRDefault="00000000">
            <w:r>
              <w:rPr>
                <w:b/>
              </w:rPr>
              <w:t>Domain</w:t>
            </w:r>
          </w:p>
        </w:tc>
        <w:tc>
          <w:tcPr>
            <w:tcW w:w="2368" w:type="dxa"/>
          </w:tcPr>
          <w:p w14:paraId="4EF0220D" w14:textId="77777777" w:rsidR="001269E5" w:rsidRDefault="00000000">
            <w:r>
              <w:rPr>
                <w:b/>
              </w:rPr>
              <w:t>AETHEL Enhancement</w:t>
            </w:r>
          </w:p>
        </w:tc>
        <w:tc>
          <w:tcPr>
            <w:tcW w:w="2368" w:type="dxa"/>
          </w:tcPr>
          <w:p w14:paraId="6D5726C9" w14:textId="77777777" w:rsidR="001269E5" w:rsidRDefault="00000000">
            <w:r>
              <w:rPr>
                <w:b/>
              </w:rPr>
              <w:t>Informatics Gap Filled</w:t>
            </w:r>
          </w:p>
        </w:tc>
      </w:tr>
      <w:tr w:rsidR="001269E5" w14:paraId="6959E423" w14:textId="77777777">
        <w:tc>
          <w:tcPr>
            <w:tcW w:w="2368" w:type="dxa"/>
          </w:tcPr>
          <w:p w14:paraId="66FD61AE" w14:textId="77777777" w:rsidR="001269E5" w:rsidRDefault="00000000">
            <w:r>
              <w:t>[Insert Data]</w:t>
            </w:r>
          </w:p>
        </w:tc>
        <w:tc>
          <w:tcPr>
            <w:tcW w:w="2368" w:type="dxa"/>
          </w:tcPr>
          <w:p w14:paraId="21994CE5" w14:textId="77777777" w:rsidR="001269E5" w:rsidRDefault="00000000">
            <w:r>
              <w:t>[Insert Data]</w:t>
            </w:r>
          </w:p>
        </w:tc>
        <w:tc>
          <w:tcPr>
            <w:tcW w:w="2368" w:type="dxa"/>
          </w:tcPr>
          <w:p w14:paraId="1127AA43" w14:textId="77777777" w:rsidR="001269E5" w:rsidRDefault="00000000">
            <w:r>
              <w:t>[Insert Data]</w:t>
            </w:r>
          </w:p>
        </w:tc>
        <w:tc>
          <w:tcPr>
            <w:tcW w:w="2368" w:type="dxa"/>
          </w:tcPr>
          <w:p w14:paraId="39BB813D" w14:textId="77777777" w:rsidR="001269E5" w:rsidRDefault="00000000">
            <w:r>
              <w:t>[Insert Data]</w:t>
            </w:r>
          </w:p>
        </w:tc>
      </w:tr>
      <w:tr w:rsidR="001269E5" w14:paraId="3D1B9697" w14:textId="77777777">
        <w:tc>
          <w:tcPr>
            <w:tcW w:w="2368" w:type="dxa"/>
          </w:tcPr>
          <w:p w14:paraId="389210E5" w14:textId="77777777" w:rsidR="001269E5" w:rsidRDefault="00000000">
            <w:r>
              <w:t>[Insert Data]</w:t>
            </w:r>
          </w:p>
        </w:tc>
        <w:tc>
          <w:tcPr>
            <w:tcW w:w="2368" w:type="dxa"/>
          </w:tcPr>
          <w:p w14:paraId="569EF689" w14:textId="77777777" w:rsidR="001269E5" w:rsidRDefault="00000000">
            <w:r>
              <w:t>[Insert Data]</w:t>
            </w:r>
          </w:p>
        </w:tc>
        <w:tc>
          <w:tcPr>
            <w:tcW w:w="2368" w:type="dxa"/>
          </w:tcPr>
          <w:p w14:paraId="2B64BB57" w14:textId="77777777" w:rsidR="001269E5" w:rsidRDefault="00000000">
            <w:r>
              <w:t>[Insert Data]</w:t>
            </w:r>
          </w:p>
        </w:tc>
        <w:tc>
          <w:tcPr>
            <w:tcW w:w="2368" w:type="dxa"/>
          </w:tcPr>
          <w:p w14:paraId="5273BCB7" w14:textId="77777777" w:rsidR="001269E5" w:rsidRDefault="00000000">
            <w:r>
              <w:t>[Insert Data]</w:t>
            </w:r>
          </w:p>
        </w:tc>
      </w:tr>
      <w:tr w:rsidR="001269E5" w14:paraId="13DA6876" w14:textId="77777777">
        <w:tc>
          <w:tcPr>
            <w:tcW w:w="2368" w:type="dxa"/>
          </w:tcPr>
          <w:p w14:paraId="666CFE16" w14:textId="77777777" w:rsidR="001269E5" w:rsidRDefault="00000000">
            <w:r>
              <w:t>[Insert Data]</w:t>
            </w:r>
          </w:p>
        </w:tc>
        <w:tc>
          <w:tcPr>
            <w:tcW w:w="2368" w:type="dxa"/>
          </w:tcPr>
          <w:p w14:paraId="7E5C8D05" w14:textId="77777777" w:rsidR="001269E5" w:rsidRDefault="00000000">
            <w:r>
              <w:t>[Insert Data]</w:t>
            </w:r>
          </w:p>
        </w:tc>
        <w:tc>
          <w:tcPr>
            <w:tcW w:w="2368" w:type="dxa"/>
          </w:tcPr>
          <w:p w14:paraId="3F9B02C2" w14:textId="77777777" w:rsidR="001269E5" w:rsidRDefault="00000000">
            <w:r>
              <w:t>[Insert Data]</w:t>
            </w:r>
          </w:p>
        </w:tc>
        <w:tc>
          <w:tcPr>
            <w:tcW w:w="2368" w:type="dxa"/>
          </w:tcPr>
          <w:p w14:paraId="38C5B5C0" w14:textId="77777777" w:rsidR="001269E5" w:rsidRDefault="00000000">
            <w:r>
              <w:t>[Insert Data]</w:t>
            </w:r>
          </w:p>
        </w:tc>
      </w:tr>
    </w:tbl>
    <w:p w14:paraId="3CE624F3" w14:textId="77777777" w:rsidR="001269E5" w:rsidRDefault="00000000">
      <w:pPr>
        <w:pStyle w:val="BodyText"/>
      </w:pPr>
      <w:r>
        <w:rPr>
          <w:b/>
        </w:rPr>
        <w:t>4.3 Clinical Implications</w:t>
      </w:r>
    </w:p>
    <w:p w14:paraId="64244CF3" w14:textId="77777777" w:rsidR="001269E5" w:rsidRDefault="00000000">
      <w:pPr>
        <w:pStyle w:val="BodyText"/>
      </w:pPr>
      <w:r>
        <w:t>For clinical implementation, uncalibrated risk predictions pose severe patient safety risks. AETHEL's automated calibration audit revealed that uncalibrated XGBoost ECE (0.2032) was reduced by 73.3% through Platt scaling alone, demonstrating that post-hoc recalibration is a practical, computationally inexpensive safety intervention. Clinicians using AETHEL's interactive workbench can inspect reliability diagrams and ECE scores before approving model deployment, translating opaque probabilistic outputs into actionable clinical safety boundaries.</w:t>
      </w:r>
    </w:p>
    <w:p w14:paraId="5FA8FBD7" w14:textId="77777777" w:rsidR="001269E5" w:rsidRDefault="00000000">
      <w:pPr>
        <w:pStyle w:val="BodyText"/>
      </w:pPr>
      <w:r>
        <w:rPr>
          <w:b/>
        </w:rPr>
        <w:t>4.4 Trustworthy AI Perspective</w:t>
      </w:r>
    </w:p>
    <w:p w14:paraId="70D240B8" w14:textId="77777777" w:rsidR="001269E5" w:rsidRDefault="00000000">
      <w:pPr>
        <w:pStyle w:val="BodyText"/>
      </w:pPr>
      <w:r>
        <w:t>From a trustworthy AI perspective, AETHEL instantiates qualitative consensus guidelines (e.g., TRIPOD+AI, FUTURE-AI) into executable validation pipelines. By automating reproducibility audits, the framework supports a shift toward continuous algorithmic safety verification in clinical informatics.</w:t>
      </w:r>
    </w:p>
    <w:p w14:paraId="4D09B5F9" w14:textId="77777777" w:rsidR="001269E5" w:rsidRDefault="00000000">
      <w:pPr>
        <w:pStyle w:val="BodyText"/>
      </w:pPr>
      <w:r>
        <w:rPr>
          <w:b/>
        </w:rPr>
        <w:t>4.5 Strengths</w:t>
      </w:r>
    </w:p>
    <w:p w14:paraId="0896F74A" w14:textId="77777777" w:rsidR="001269E5" w:rsidRDefault="00000000">
      <w:pPr>
        <w:pStyle w:val="BodyText"/>
      </w:pPr>
      <w:r>
        <w:t>The strengths of this study include: (1) the integration of discrimination, calibration, XAI, and clinical utility in a single framework; (2) the prevention of data leakage via nested validation loops; and (3) the release of an open-source visual workbench to verify reproducibility.</w:t>
      </w:r>
    </w:p>
    <w:p w14:paraId="22997F97" w14:textId="77777777" w:rsidR="001269E5" w:rsidRDefault="00000000">
      <w:pPr>
        <w:pStyle w:val="BodyText"/>
      </w:pPr>
      <w:r>
        <w:rPr>
          <w:b/>
        </w:rPr>
        <w:t>4.6 Limitations</w:t>
      </w:r>
    </w:p>
    <w:p w14:paraId="75C0960D" w14:textId="77777777" w:rsidR="001269E5" w:rsidRDefault="00000000">
      <w:pPr>
        <w:pStyle w:val="BodyText"/>
      </w:pPr>
      <w:r>
        <w:t>Limitations of this work include the reliance on retrospective data registries, the use of clinical surrogate outcomes in cross-sectional validation cohorts, and the focus on static risk prediction rather than dynamic temporal modeling.</w:t>
      </w:r>
    </w:p>
    <w:p w14:paraId="78495486" w14:textId="77777777" w:rsidR="001269E5" w:rsidRDefault="001269E5">
      <w:pPr>
        <w:pStyle w:val="BodyText"/>
      </w:pPr>
    </w:p>
    <w:p w14:paraId="303C96C9" w14:textId="77777777" w:rsidR="001269E5" w:rsidRDefault="00000000">
      <w:pPr>
        <w:pStyle w:val="Heading1"/>
      </w:pPr>
      <w:r>
        <w:t>5. Conclusions</w:t>
      </w:r>
    </w:p>
    <w:p w14:paraId="1F716B79" w14:textId="77777777" w:rsidR="001269E5" w:rsidRDefault="00000000">
      <w:pPr>
        <w:pStyle w:val="BodyText"/>
      </w:pPr>
      <w:r>
        <w:t>We developed AETHEL, a reproducible auditing framework for clinical machine learning models. Our results show that discrimination metrics are insufficient to guarantee transportability, as calibration and explainability degradation occur independently under covariate shift. By providing open-source code and an interactive visual workbench, AETHEL establishes a reproducible workflow to verify clinical AI safety boundaries prior to deployment.</w:t>
      </w:r>
    </w:p>
    <w:p w14:paraId="5D34BB40" w14:textId="77777777" w:rsidR="001269E5" w:rsidRDefault="001269E5">
      <w:pPr>
        <w:pStyle w:val="BodyText"/>
      </w:pPr>
    </w:p>
    <w:p w14:paraId="4B006C3A" w14:textId="77777777" w:rsidR="001269E5" w:rsidRDefault="00000000">
      <w:pPr>
        <w:pStyle w:val="Heading1"/>
      </w:pPr>
      <w:r>
        <w:t>Declarations</w:t>
      </w:r>
    </w:p>
    <w:p w14:paraId="6A44CF13" w14:textId="77777777" w:rsidR="001269E5" w:rsidRDefault="00000000">
      <w:pPr>
        <w:pStyle w:val="BodyText"/>
      </w:pPr>
      <w:r>
        <w:rPr>
          <w:b/>
        </w:rPr>
        <w:t xml:space="preserve">Funding: </w:t>
      </w:r>
      <w:r>
        <w:t>This research did not receive any specific grant from funding agencies in the public, commercial, or not-for-profit sectors.</w:t>
      </w:r>
    </w:p>
    <w:p w14:paraId="6CC8FC38" w14:textId="77777777" w:rsidR="001269E5" w:rsidRDefault="00000000">
      <w:pPr>
        <w:pStyle w:val="BodyText"/>
      </w:pPr>
      <w:r>
        <w:rPr>
          <w:b/>
        </w:rPr>
        <w:t xml:space="preserve">Conflict of Interest: </w:t>
      </w:r>
      <w:r>
        <w:t>The authors declare that they have no known competing financial interests or personal relationships that could have appeared to influence the work reported in this paper.</w:t>
      </w:r>
    </w:p>
    <w:p w14:paraId="7580D4E5" w14:textId="77777777" w:rsidR="001269E5" w:rsidRDefault="00000000">
      <w:pPr>
        <w:pStyle w:val="BodyText"/>
      </w:pPr>
      <w:r>
        <w:rPr>
          <w:b/>
        </w:rPr>
        <w:t xml:space="preserve">Ethics Statement: </w:t>
      </w:r>
      <w:r>
        <w:t>This study utilizes fully de-identified, publicly available datasets (the Framingham Heart Study and NHANES) and does not require primary institutional review board approval.</w:t>
      </w:r>
    </w:p>
    <w:p w14:paraId="6A744C66" w14:textId="77777777" w:rsidR="001269E5" w:rsidRDefault="00000000">
      <w:pPr>
        <w:pStyle w:val="BodyText"/>
      </w:pPr>
      <w:r>
        <w:rPr>
          <w:b/>
        </w:rPr>
        <w:t xml:space="preserve">Data Availability: </w:t>
      </w:r>
      <w:r>
        <w:t xml:space="preserve">The datasets analyzed in this study are publicly available. NHANES data can be downloaded via the CDC portal, and the Framingham Heart Study dataset is available via application to </w:t>
      </w:r>
      <w:proofErr w:type="spellStart"/>
      <w:r>
        <w:t>BioLINCC</w:t>
      </w:r>
      <w:proofErr w:type="spellEnd"/>
      <w:r>
        <w:t>.</w:t>
      </w:r>
    </w:p>
    <w:p w14:paraId="0AA3E4F6" w14:textId="77777777" w:rsidR="001269E5" w:rsidRDefault="00000000">
      <w:pPr>
        <w:pStyle w:val="BodyText"/>
      </w:pPr>
      <w:r>
        <w:rPr>
          <w:b/>
        </w:rPr>
        <w:t xml:space="preserve">Code Availability: </w:t>
      </w:r>
      <w:r>
        <w:t xml:space="preserve">The complete Python codebase for the AETHEL auditing pipeline, the Next.js visual Research Workbench, and all reproducibility configurations are open-source and available on GitHub at </w:t>
      </w:r>
      <w:r>
        <w:rPr>
          <w:i/>
        </w:rPr>
        <w:t>https://github.com/Tani-2005/AETHEL-Risk-Stratification-Clinical-Cohort-Analysis</w:t>
      </w:r>
      <w:r>
        <w:t>.</w:t>
      </w:r>
    </w:p>
    <w:p w14:paraId="4C93672A" w14:textId="77777777" w:rsidR="001269E5" w:rsidRDefault="00000000">
      <w:pPr>
        <w:pStyle w:val="BodyText"/>
      </w:pPr>
      <w:r>
        <w:rPr>
          <w:b/>
        </w:rPr>
        <w:t xml:space="preserve">Author Contributions: </w:t>
      </w:r>
      <w:r>
        <w:t>Tanya Deep: Conceptualization, Methodology, Software, Data Curation, Writing - Original Draft, Validation, and Visualization.</w:t>
      </w:r>
    </w:p>
    <w:p w14:paraId="4DE9A022" w14:textId="77777777" w:rsidR="001269E5" w:rsidRDefault="00000000">
      <w:pPr>
        <w:pStyle w:val="BodyText"/>
      </w:pPr>
      <w:r>
        <w:rPr>
          <w:b/>
        </w:rPr>
        <w:t xml:space="preserve">Acknowledgements: </w:t>
      </w:r>
      <w:r>
        <w:t>The author acknowledges the National Heart, Lung, and Blood Institute (NHLBI) for providing access to the Framingham Heart Study dataset, and the Centers for Disease Control and Prevention (CDC) for NHANES.</w:t>
      </w:r>
    </w:p>
    <w:p w14:paraId="16B10515" w14:textId="77777777" w:rsidR="001269E5" w:rsidRDefault="001269E5">
      <w:pPr>
        <w:pStyle w:val="BodyText"/>
      </w:pPr>
    </w:p>
    <w:p w14:paraId="201CAA1B" w14:textId="77777777" w:rsidR="001269E5" w:rsidRDefault="00000000">
      <w:pPr>
        <w:pStyle w:val="Heading1"/>
      </w:pPr>
      <w:r>
        <w:t>Appendix</w:t>
      </w:r>
    </w:p>
    <w:p w14:paraId="06B69F7C" w14:textId="77777777" w:rsidR="001269E5" w:rsidRDefault="00000000">
      <w:pPr>
        <w:pStyle w:val="BodyText"/>
      </w:pPr>
      <w:r>
        <w:rPr>
          <w:b/>
        </w:rPr>
        <w:t>A. Hyperparameters</w:t>
      </w:r>
    </w:p>
    <w:p w14:paraId="27110B13" w14:textId="77777777" w:rsidR="001269E5" w:rsidRDefault="00000000">
      <w:pPr>
        <w:pStyle w:val="BodyText"/>
      </w:pPr>
      <w:r>
        <w:t>Table 8 summarizes the grid search hyperparameter spaces and final selected models.</w:t>
      </w:r>
    </w:p>
    <w:p w14:paraId="53E2A620" w14:textId="77777777" w:rsidR="001269E5" w:rsidRDefault="001269E5">
      <w:pPr>
        <w:pStyle w:val="BodyText"/>
      </w:pPr>
    </w:p>
    <w:p w14:paraId="390C0BBE" w14:textId="77777777" w:rsidR="001269E5" w:rsidRDefault="00000000">
      <w:pPr>
        <w:pStyle w:val="BodyText"/>
      </w:pPr>
      <w:r>
        <w:rPr>
          <w:b/>
        </w:rPr>
        <w:t xml:space="preserve">Table 8. Hyperparameter Configurations. </w:t>
      </w:r>
    </w:p>
    <w:tbl>
      <w:tblPr>
        <w:tblW w:w="0" w:type="auto"/>
        <w:tblLook w:val="04A0" w:firstRow="1" w:lastRow="0" w:firstColumn="1" w:lastColumn="0" w:noHBand="0" w:noVBand="1"/>
      </w:tblPr>
      <w:tblGrid>
        <w:gridCol w:w="2368"/>
        <w:gridCol w:w="2368"/>
        <w:gridCol w:w="2368"/>
        <w:gridCol w:w="2368"/>
      </w:tblGrid>
      <w:tr w:rsidR="001269E5" w14:paraId="47866BDC" w14:textId="77777777">
        <w:tc>
          <w:tcPr>
            <w:tcW w:w="2368" w:type="dxa"/>
          </w:tcPr>
          <w:p w14:paraId="1E2B4401" w14:textId="77777777" w:rsidR="001269E5" w:rsidRDefault="00000000">
            <w:r>
              <w:rPr>
                <w:b/>
              </w:rPr>
              <w:t>Model</w:t>
            </w:r>
          </w:p>
        </w:tc>
        <w:tc>
          <w:tcPr>
            <w:tcW w:w="2368" w:type="dxa"/>
          </w:tcPr>
          <w:p w14:paraId="7CDC94E1" w14:textId="77777777" w:rsidR="001269E5" w:rsidRDefault="00000000">
            <w:r>
              <w:rPr>
                <w:b/>
              </w:rPr>
              <w:t>Parameter Name</w:t>
            </w:r>
          </w:p>
        </w:tc>
        <w:tc>
          <w:tcPr>
            <w:tcW w:w="2368" w:type="dxa"/>
          </w:tcPr>
          <w:p w14:paraId="3548769F" w14:textId="77777777" w:rsidR="001269E5" w:rsidRDefault="00000000">
            <w:r>
              <w:rPr>
                <w:b/>
              </w:rPr>
              <w:t>Grid Search Space</w:t>
            </w:r>
          </w:p>
        </w:tc>
        <w:tc>
          <w:tcPr>
            <w:tcW w:w="2368" w:type="dxa"/>
          </w:tcPr>
          <w:p w14:paraId="37FB8768" w14:textId="77777777" w:rsidR="001269E5" w:rsidRDefault="00000000">
            <w:r>
              <w:rPr>
                <w:b/>
              </w:rPr>
              <w:t>Final Selection</w:t>
            </w:r>
          </w:p>
        </w:tc>
      </w:tr>
      <w:tr w:rsidR="001269E5" w14:paraId="5748D8A3" w14:textId="77777777">
        <w:tc>
          <w:tcPr>
            <w:tcW w:w="2368" w:type="dxa"/>
          </w:tcPr>
          <w:p w14:paraId="0AE4B0EA" w14:textId="77777777" w:rsidR="001269E5" w:rsidRDefault="00000000">
            <w:r>
              <w:t>[Insert Data]</w:t>
            </w:r>
          </w:p>
        </w:tc>
        <w:tc>
          <w:tcPr>
            <w:tcW w:w="2368" w:type="dxa"/>
          </w:tcPr>
          <w:p w14:paraId="0263BA42" w14:textId="77777777" w:rsidR="001269E5" w:rsidRDefault="00000000">
            <w:r>
              <w:t>[Insert Data]</w:t>
            </w:r>
          </w:p>
        </w:tc>
        <w:tc>
          <w:tcPr>
            <w:tcW w:w="2368" w:type="dxa"/>
          </w:tcPr>
          <w:p w14:paraId="46ED20C3" w14:textId="77777777" w:rsidR="001269E5" w:rsidRDefault="00000000">
            <w:r>
              <w:t>[Insert Data]</w:t>
            </w:r>
          </w:p>
        </w:tc>
        <w:tc>
          <w:tcPr>
            <w:tcW w:w="2368" w:type="dxa"/>
          </w:tcPr>
          <w:p w14:paraId="120EA7D2" w14:textId="77777777" w:rsidR="001269E5" w:rsidRDefault="00000000">
            <w:r>
              <w:t>[Insert Data]</w:t>
            </w:r>
          </w:p>
        </w:tc>
      </w:tr>
      <w:tr w:rsidR="001269E5" w14:paraId="78BA2110" w14:textId="77777777">
        <w:tc>
          <w:tcPr>
            <w:tcW w:w="2368" w:type="dxa"/>
          </w:tcPr>
          <w:p w14:paraId="20ABCBA5" w14:textId="77777777" w:rsidR="001269E5" w:rsidRDefault="00000000">
            <w:r>
              <w:t>[Insert Data]</w:t>
            </w:r>
          </w:p>
        </w:tc>
        <w:tc>
          <w:tcPr>
            <w:tcW w:w="2368" w:type="dxa"/>
          </w:tcPr>
          <w:p w14:paraId="79B03807" w14:textId="77777777" w:rsidR="001269E5" w:rsidRDefault="00000000">
            <w:r>
              <w:t>[Insert Data]</w:t>
            </w:r>
          </w:p>
        </w:tc>
        <w:tc>
          <w:tcPr>
            <w:tcW w:w="2368" w:type="dxa"/>
          </w:tcPr>
          <w:p w14:paraId="7862627F" w14:textId="77777777" w:rsidR="001269E5" w:rsidRDefault="00000000">
            <w:r>
              <w:t>[Insert Data]</w:t>
            </w:r>
          </w:p>
        </w:tc>
        <w:tc>
          <w:tcPr>
            <w:tcW w:w="2368" w:type="dxa"/>
          </w:tcPr>
          <w:p w14:paraId="71698903" w14:textId="77777777" w:rsidR="001269E5" w:rsidRDefault="00000000">
            <w:r>
              <w:t>[Insert Data]</w:t>
            </w:r>
          </w:p>
        </w:tc>
      </w:tr>
      <w:tr w:rsidR="001269E5" w14:paraId="0F2B4904" w14:textId="77777777">
        <w:tc>
          <w:tcPr>
            <w:tcW w:w="2368" w:type="dxa"/>
          </w:tcPr>
          <w:p w14:paraId="17934F16" w14:textId="77777777" w:rsidR="001269E5" w:rsidRDefault="00000000">
            <w:r>
              <w:t>[Insert Data]</w:t>
            </w:r>
          </w:p>
        </w:tc>
        <w:tc>
          <w:tcPr>
            <w:tcW w:w="2368" w:type="dxa"/>
          </w:tcPr>
          <w:p w14:paraId="094DC49B" w14:textId="77777777" w:rsidR="001269E5" w:rsidRDefault="00000000">
            <w:r>
              <w:t>[Insert Data]</w:t>
            </w:r>
          </w:p>
        </w:tc>
        <w:tc>
          <w:tcPr>
            <w:tcW w:w="2368" w:type="dxa"/>
          </w:tcPr>
          <w:p w14:paraId="077C17F9" w14:textId="77777777" w:rsidR="001269E5" w:rsidRDefault="00000000">
            <w:r>
              <w:t>[Insert Data]</w:t>
            </w:r>
          </w:p>
        </w:tc>
        <w:tc>
          <w:tcPr>
            <w:tcW w:w="2368" w:type="dxa"/>
          </w:tcPr>
          <w:p w14:paraId="3EB05EA2" w14:textId="77777777" w:rsidR="001269E5" w:rsidRDefault="00000000">
            <w:r>
              <w:t>[Insert Data]</w:t>
            </w:r>
          </w:p>
        </w:tc>
      </w:tr>
    </w:tbl>
    <w:p w14:paraId="0A9CE1F8" w14:textId="77777777" w:rsidR="001269E5" w:rsidRDefault="00000000">
      <w:pPr>
        <w:pStyle w:val="BodyText"/>
      </w:pPr>
      <w:r>
        <w:rPr>
          <w:b/>
        </w:rPr>
        <w:t>B. Mathematical Derivations of Consensus Metrics</w:t>
      </w:r>
    </w:p>
    <w:p w14:paraId="3F958D75" w14:textId="77777777" w:rsidR="001269E5" w:rsidRDefault="00000000">
      <w:pPr>
        <w:pStyle w:val="BodyText"/>
      </w:pPr>
      <w:r>
        <w:t>To quantify explanation drift under domain shift, AETHEL implements the Feature Agreement Score (FAS) and Top-k Jaccard Overlap (</w:t>
      </w:r>
      <w:proofErr w:type="spellStart"/>
      <w:r>
        <w:t>TkO</w:t>
      </w:r>
      <w:proofErr w:type="spellEnd"/>
      <w:r>
        <w:t xml:space="preserve">). Let </w:t>
      </w:r>
      <w:proofErr w:type="spellStart"/>
      <w:r>
        <w:t>S_i^D</w:t>
      </w:r>
      <w:proofErr w:type="spellEnd"/>
      <w:r>
        <w:t xml:space="preserve"> and </w:t>
      </w:r>
      <w:proofErr w:type="spellStart"/>
      <w:r>
        <w:t>S_i^T</w:t>
      </w:r>
      <w:proofErr w:type="spellEnd"/>
      <w:r>
        <w:t xml:space="preserve"> be the SHAP attribution vectors for patient </w:t>
      </w:r>
      <w:proofErr w:type="spellStart"/>
      <w:r>
        <w:t>i</w:t>
      </w:r>
      <w:proofErr w:type="spellEnd"/>
      <w:r>
        <w:t xml:space="preserve"> under the development and target configurations respectively. The Feature Agreement Score is defined as:</w:t>
      </w:r>
    </w:p>
    <w:p w14:paraId="67609B57" w14:textId="77777777" w:rsidR="001269E5" w:rsidRDefault="00000000">
      <w:pPr>
        <w:pStyle w:val="BodyText"/>
      </w:pPr>
      <w:proofErr w:type="spellStart"/>
      <w:r>
        <w:t>FAS_i</w:t>
      </w:r>
      <w:proofErr w:type="spellEnd"/>
      <w:r>
        <w:t xml:space="preserve"> = </w:t>
      </w:r>
      <w:proofErr w:type="spellStart"/>
      <w:proofErr w:type="gramStart"/>
      <w:r>
        <w:t>PearsonCorrelation</w:t>
      </w:r>
      <w:proofErr w:type="spellEnd"/>
      <w:r>
        <w:t>(</w:t>
      </w:r>
      <w:proofErr w:type="spellStart"/>
      <w:proofErr w:type="gramEnd"/>
      <w:r>
        <w:t>S_i^D</w:t>
      </w:r>
      <w:proofErr w:type="spellEnd"/>
      <w:r>
        <w:t xml:space="preserve">, </w:t>
      </w:r>
      <w:proofErr w:type="spellStart"/>
      <w:r>
        <w:t>S_i^T</w:t>
      </w:r>
      <w:proofErr w:type="spellEnd"/>
      <w:r>
        <w:t>)</w:t>
      </w:r>
    </w:p>
    <w:p w14:paraId="003450A5" w14:textId="77777777" w:rsidR="001269E5" w:rsidRDefault="00000000">
      <w:pPr>
        <w:pStyle w:val="BodyText"/>
      </w:pPr>
      <w:r>
        <w:t xml:space="preserve">Let </w:t>
      </w:r>
      <w:proofErr w:type="spellStart"/>
      <w:r>
        <w:t>K_i^D</w:t>
      </w:r>
      <w:proofErr w:type="spellEnd"/>
      <w:r>
        <w:t xml:space="preserve"> and </w:t>
      </w:r>
      <w:proofErr w:type="spellStart"/>
      <w:r>
        <w:t>K_i^T</w:t>
      </w:r>
      <w:proofErr w:type="spellEnd"/>
      <w:r>
        <w:t xml:space="preserve"> be the indices of the top k features with the largest absolute SHAP attributions for patient </w:t>
      </w:r>
      <w:proofErr w:type="spellStart"/>
      <w:r>
        <w:t>i</w:t>
      </w:r>
      <w:proofErr w:type="spellEnd"/>
      <w:r>
        <w:t>. The Top-k Jaccard Overlap is defined as:</w:t>
      </w:r>
    </w:p>
    <w:p w14:paraId="72067CF7" w14:textId="77777777" w:rsidR="001269E5" w:rsidRDefault="00000000">
      <w:pPr>
        <w:pStyle w:val="BodyText"/>
      </w:pPr>
      <w:proofErr w:type="spellStart"/>
      <w:r>
        <w:t>TkO_i</w:t>
      </w:r>
      <w:proofErr w:type="spellEnd"/>
      <w:r>
        <w:t xml:space="preserve"> = | </w:t>
      </w:r>
      <w:proofErr w:type="spellStart"/>
      <w:r>
        <w:t>K_i^</w:t>
      </w:r>
      <w:proofErr w:type="gramStart"/>
      <w:r>
        <w:t>D</w:t>
      </w:r>
      <w:proofErr w:type="spellEnd"/>
      <w:r>
        <w:t xml:space="preserve">  intersection</w:t>
      </w:r>
      <w:proofErr w:type="gramEnd"/>
      <w:r>
        <w:t xml:space="preserve">  </w:t>
      </w:r>
      <w:proofErr w:type="spellStart"/>
      <w:r>
        <w:t>K_i^T</w:t>
      </w:r>
      <w:proofErr w:type="spellEnd"/>
      <w:r>
        <w:t xml:space="preserve"> </w:t>
      </w:r>
      <w:proofErr w:type="gramStart"/>
      <w:r>
        <w:t>|  /</w:t>
      </w:r>
      <w:proofErr w:type="gramEnd"/>
      <w:r>
        <w:t xml:space="preserve">  | </w:t>
      </w:r>
      <w:proofErr w:type="spellStart"/>
      <w:r>
        <w:t>K_i^</w:t>
      </w:r>
      <w:proofErr w:type="gramStart"/>
      <w:r>
        <w:t>D</w:t>
      </w:r>
      <w:proofErr w:type="spellEnd"/>
      <w:r>
        <w:t xml:space="preserve">  union</w:t>
      </w:r>
      <w:proofErr w:type="gramEnd"/>
      <w:r>
        <w:t xml:space="preserve">  </w:t>
      </w:r>
      <w:proofErr w:type="spellStart"/>
      <w:r>
        <w:t>K_i^T</w:t>
      </w:r>
      <w:proofErr w:type="spellEnd"/>
      <w:r>
        <w:t xml:space="preserve"> |</w:t>
      </w:r>
    </w:p>
    <w:p w14:paraId="7DF50451" w14:textId="77777777" w:rsidR="001269E5" w:rsidRDefault="00000000">
      <w:pPr>
        <w:pStyle w:val="BodyText"/>
      </w:pPr>
      <w:r>
        <w:rPr>
          <w:b/>
        </w:rPr>
        <w:t>C. TRIPOD+AI Checklist Alignment</w:t>
      </w:r>
    </w:p>
    <w:p w14:paraId="3BB397EE" w14:textId="77777777" w:rsidR="001269E5" w:rsidRDefault="00000000">
      <w:pPr>
        <w:pStyle w:val="BodyText"/>
      </w:pPr>
      <w:r>
        <w:t xml:space="preserve">The AETHEL framework follows the Transparent Reporting of a multivariable prediction model for Individual Prognosis </w:t>
      </w:r>
      <w:proofErr w:type="gramStart"/>
      <w:r>
        <w:t>Or</w:t>
      </w:r>
      <w:proofErr w:type="gramEnd"/>
      <w:r>
        <w:t xml:space="preserve"> Diagnosis + Artificial Intelligence (TRIPOD+AI) guidelines. Key items addressed include: unbiased sample size estimation, nested cross-validation to prevent data leakage, and explicit recalibration reporting.</w:t>
      </w:r>
    </w:p>
    <w:p w14:paraId="73D84CB7" w14:textId="77777777" w:rsidR="001269E5" w:rsidRDefault="00000000">
      <w:pPr>
        <w:pStyle w:val="BodyText"/>
      </w:pPr>
      <w:r>
        <w:rPr>
          <w:b/>
        </w:rPr>
        <w:t>D. Software &amp; Environment Dependency Matrix</w:t>
      </w:r>
    </w:p>
    <w:p w14:paraId="4C03FEB8" w14:textId="77777777" w:rsidR="001269E5" w:rsidRDefault="00000000">
      <w:pPr>
        <w:pStyle w:val="BodyText"/>
      </w:pPr>
      <w:r>
        <w:t xml:space="preserve">All audits were conducted using Python 3.13. The core machine learning dependencies include: scikit-learn (v1.6.0), </w:t>
      </w:r>
      <w:proofErr w:type="spellStart"/>
      <w:r>
        <w:t>xgboost</w:t>
      </w:r>
      <w:proofErr w:type="spellEnd"/>
      <w:r>
        <w:t xml:space="preserve"> (v2.0.3), </w:t>
      </w:r>
      <w:proofErr w:type="spellStart"/>
      <w:r>
        <w:t>shap</w:t>
      </w:r>
      <w:proofErr w:type="spellEnd"/>
      <w:r>
        <w:t xml:space="preserve"> (v0.45.1), and </w:t>
      </w:r>
      <w:proofErr w:type="spellStart"/>
      <w:r>
        <w:t>numpy</w:t>
      </w:r>
      <w:proofErr w:type="spellEnd"/>
      <w:r>
        <w:t xml:space="preserve"> (v1.26.4). The Research Workbench interface was compiled using Node.js (v18) and Next.js (v14.1.0).</w:t>
      </w:r>
    </w:p>
    <w:p w14:paraId="504FA498" w14:textId="77777777" w:rsidR="001269E5" w:rsidRDefault="001269E5">
      <w:pPr>
        <w:pStyle w:val="BodyText"/>
      </w:pPr>
    </w:p>
    <w:p w14:paraId="1A6A4D90" w14:textId="77777777" w:rsidR="001269E5" w:rsidRDefault="00000000">
      <w:pPr>
        <w:pStyle w:val="Heading1"/>
      </w:pPr>
      <w:r>
        <w:t>References</w:t>
      </w:r>
    </w:p>
    <w:p>
      <w:pPr>
        <w:ind w:left="720" w:hanging="720"/>
        <w:spacing w:after="120"/>
      </w:pPr>
      <w:r>
        <w:rPr>
          <w:sz w:val="20"/>
        </w:rPr>
        <w:t xml:space="preserve">[1] Steyerberg, E.W., Vickers, A.J., Cook, N.R., Gerds, T., Gonen, M., Obuchowski, N., Pencina, M.J., Kattan, M.W., 2010. Assessing the performance of prediction models: a framework for traditional and novel measures. Epidemiology 21 (1), 128–138.</w:t>
      </w:r>
    </w:p>
    <w:p>
      <w:pPr>
        <w:ind w:left="720" w:hanging="720"/>
        <w:spacing w:after="120"/>
      </w:pPr>
      <w:r>
        <w:rPr>
          <w:sz w:val="20"/>
        </w:rPr>
        <w:t xml:space="preserve">[2] Efthimiou, O., Seo, M., Chalkou, K., Debray, T., Egger, M., Salanti, G., 2023. Developing clinical prediction models: a step by step guide. BMJ 383, e073pipelines.</w:t>
      </w:r>
    </w:p>
    <w:p>
      <w:pPr>
        <w:ind w:left="720" w:hanging="720"/>
        <w:spacing w:after="120"/>
      </w:pPr>
      <w:r>
        <w:rPr>
          <w:sz w:val="20"/>
        </w:rPr>
        <w:t xml:space="preserve">[3] Collins, G.S., Dhiman, P., Ma, J., Schlussel, M.M., Archer, L., Van Calster, B., Harrell, F., Martin, G.P., 2024. Evaluation of clinical prediction models (part 1): from development to external validation. BMJ 384, e074819.</w:t>
      </w:r>
    </w:p>
    <w:p>
      <w:pPr>
        <w:ind w:left="720" w:hanging="720"/>
        <w:spacing w:after="120"/>
      </w:pPr>
      <w:r>
        <w:rPr>
          <w:sz w:val="20"/>
        </w:rPr>
        <w:t xml:space="preserve">[4] Schisterman, E.F., Faraggi, D., Reiser, B., Hu, J., 2007. Youden Index and the optimal threshold for markers with mass at zero. Statistics in Medicine 27 (2), 297–315.</w:t>
      </w:r>
    </w:p>
    <w:p>
      <w:pPr>
        <w:ind w:left="720" w:hanging="720"/>
        <w:spacing w:after="120"/>
      </w:pPr>
      <w:r>
        <w:rPr>
          <w:sz w:val="20"/>
        </w:rPr>
        <w:t xml:space="preserve">[5] Cox, D.R., 1972. Regression models and life-tables. Journal of the Royal Statistical Society: Series B (Methodological) 34 (2), 187–202.</w:t>
      </w:r>
    </w:p>
    <w:p>
      <w:pPr>
        <w:ind w:left="720" w:hanging="720"/>
        <w:spacing w:after="120"/>
      </w:pPr>
      <w:r>
        <w:rPr>
          <w:sz w:val="20"/>
        </w:rPr>
        <w:t xml:space="preserve">[6] Ishwaran, H., Kogalur, U.B., Blackstone, E.H., Lauer, M.S., 2008. Random survival forests. The Annals of Applied Statistics 2 (3), 841–860.</w:t>
      </w:r>
    </w:p>
    <w:p>
      <w:pPr>
        <w:ind w:left="720" w:hanging="720"/>
        <w:spacing w:after="120"/>
      </w:pPr>
      <w:r>
        <w:rPr>
          <w:sz w:val="20"/>
        </w:rPr>
        <w:t xml:space="preserve">[7] Ter-Minassian, L., Ghalebikesabi, S., Diaz-Ordaz, K., Holmes, C., 2024. Explainable AI for survival analysis: a median-SHAP approach. arXiv preprint arXiv:2402.00072.</w:t>
      </w:r>
    </w:p>
    <w:p>
      <w:pPr>
        <w:ind w:left="720" w:hanging="720"/>
        <w:spacing w:after="120"/>
      </w:pPr>
      <w:r>
        <w:rPr>
          <w:sz w:val="20"/>
        </w:rPr>
        <w:t xml:space="preserve">[8] Wilson, P.W.F., D'Agostino, R.B., Levy, D., Belanger, A.M., Silbershatz, H., Kannel, W.B., 1998. Prediction of coronary heart disease using risk factor categories. Circulation 97 (18), 1837–1847.</w:t>
      </w:r>
    </w:p>
    <w:p>
      <w:pPr>
        <w:ind w:left="720" w:hanging="720"/>
        <w:spacing w:after="120"/>
      </w:pPr>
      <w:r>
        <w:rPr>
          <w:sz w:val="20"/>
        </w:rPr>
        <w:t xml:space="preserve">[9] Goff, D.C., Lloyd-Jones, D.M., Bennett, G., Coady, S., D'Agostino, R.B., Gibbons, R., et al., 2014. 2013 ACC/AHA guideline on the assessment of cardiovascular risk. Journal of the American College of Cardiology 63 (25), 2935–2959.</w:t>
      </w:r>
    </w:p>
    <w:p>
      <w:pPr>
        <w:ind w:left="720" w:hanging="720"/>
        <w:spacing w:after="120"/>
      </w:pPr>
      <w:r>
        <w:rPr>
          <w:sz w:val="20"/>
        </w:rPr>
        <w:t xml:space="preserve">[10] Hippisley-Cox, J., Coupland, C., Brindle, P., 2017. Development and validation of QRISK3 risk prediction algorithms. BMJ 357, j2099.</w:t>
      </w:r>
    </w:p>
    <w:p>
      <w:pPr>
        <w:ind w:left="720" w:hanging="720"/>
        <w:spacing w:after="120"/>
      </w:pPr>
      <w:r>
        <w:rPr>
          <w:sz w:val="20"/>
        </w:rPr>
        <w:t xml:space="preserve">[11] Moreno-Sánchez, P.A., 2023. Improvement of a prediction model for heart failure survival through explainable artificial intelligence. Scientific Reports 13 (1), 13854.</w:t>
      </w:r>
    </w:p>
    <w:p>
      <w:pPr>
        <w:ind w:left="720" w:hanging="720"/>
        <w:spacing w:after="120"/>
      </w:pPr>
      <w:r>
        <w:rPr>
          <w:sz w:val="20"/>
        </w:rPr>
        <w:t xml:space="preserve">[12] Luo, J., Khani, M., Adams, J., Lu, Q., O'Connor, K., Friedland, D.R., 2023. Risk prediction and interpretation for fall events using explainable AI and large language models. Journal of Biomedical Informatics 148, 104543.</w:t>
      </w:r>
    </w:p>
    <w:p>
      <w:pPr>
        <w:ind w:left="720" w:hanging="720"/>
        <w:spacing w:after="120"/>
      </w:pPr>
      <w:r>
        <w:rPr>
          <w:sz w:val="20"/>
        </w:rPr>
        <w:t xml:space="preserve">[13] Susnjak, T., Griffin, E., 2023. Towards clinical prediction with transparency: an explainable AI approach to survival modelling in residential aged care. Scientific Reports 13 (1), 12345.</w:t>
      </w:r>
    </w:p>
    <w:p>
      <w:pPr>
        <w:ind w:left="720" w:hanging="720"/>
        <w:spacing w:after="120"/>
      </w:pPr>
      <w:r>
        <w:rPr>
          <w:sz w:val="20"/>
        </w:rPr>
        <w:t xml:space="preserve">[14] Di Martino, F., Delmastro, F., Dolciotti, C., 2023. Explainable AI for malnutrition risk prediction from m-Health and clinical data. Artificial Intelligence in Medicine 135, 102456.</w:t>
      </w:r>
    </w:p>
    <w:p>
      <w:pPr>
        <w:ind w:left="720" w:hanging="720"/>
        <w:spacing w:after="120"/>
      </w:pPr>
      <w:r>
        <w:rPr>
          <w:sz w:val="20"/>
        </w:rPr>
        <w:t xml:space="preserve">[15] Ghasemi, A., Hashtarkhani, S., Schwartz, D.L., Shaban-Nejad, A., 2024. Explainable artificial intelligence in breast cancer detection and risk prediction: a systematic scoping review. Cancer Innovation 3 (5), e136.</w:t>
      </w:r>
    </w:p>
    <w:p>
      <w:pPr>
        <w:ind w:left="720" w:hanging="720"/>
        <w:spacing w:after="120"/>
      </w:pPr>
      <w:r>
        <w:rPr>
          <w:sz w:val="20"/>
        </w:rPr>
        <w:t xml:space="preserve">[16] Imran, M.A.R., Hasan, T., Akter, N., Mia, M.S., Tasnim, T., 2025. SHAP-based explainable AI model for early detection of cardiovascular disease. Informatics in Medicine Unlocked 43, 101414.</w:t>
      </w:r>
    </w:p>
    <w:p>
      <w:pPr>
        <w:ind w:left="720" w:hanging="720"/>
        <w:spacing w:after="120"/>
      </w:pPr>
      <w:r>
        <w:rPr>
          <w:sz w:val="20"/>
        </w:rPr>
        <w:t xml:space="preserve">[17] Ribeiro, M.T., Singh, S., Guestrin, C., 2016. 'Why should I trust you?' Explaining the predictions of any classifier. In: Proceedings of the 22nd ACM SIGKDD International Conference on Knowledge Discovery and Data Mining. pp. 1135–1144.</w:t>
      </w:r>
    </w:p>
    <w:p>
      <w:pPr>
        <w:ind w:left="720" w:hanging="720"/>
        <w:spacing w:after="120"/>
      </w:pPr>
      <w:r>
        <w:rPr>
          <w:sz w:val="20"/>
        </w:rPr>
        <w:t xml:space="preserve">[18] Doshi-Velez, F., Kim, B., 2017. Towards a rigorous science of interpretable machine learning. arXiv preprint arXiv:1702.08608.</w:t>
      </w:r>
    </w:p>
    <w:p>
      <w:pPr>
        <w:ind w:left="720" w:hanging="720"/>
        <w:spacing w:after="120"/>
      </w:pPr>
      <w:r>
        <w:rPr>
          <w:sz w:val="20"/>
        </w:rPr>
        <w:t xml:space="preserve">[19] Lundberg, S.M., Lee, S.-I., 2017. A unified approach to interpreting model predictions. Advances in Neural Information Processing Systems (NeurIPS) 30, 4765–4774.</w:t>
      </w:r>
    </w:p>
    <w:p>
      <w:pPr>
        <w:ind w:left="720" w:hanging="720"/>
        <w:spacing w:after="120"/>
      </w:pPr>
      <w:r>
        <w:rPr>
          <w:sz w:val="20"/>
        </w:rPr>
        <w:t xml:space="preserve">[20] Adadi, A., Berrada, M., 2018. Peeking inside the black-box: a survey on explainable artificial intelligence (XAI). IEEE Access 6, 52138–52160.</w:t>
      </w:r>
    </w:p>
    <w:p>
      <w:pPr>
        <w:ind w:left="720" w:hanging="720"/>
        <w:spacing w:after="120"/>
      </w:pPr>
      <w:r>
        <w:rPr>
          <w:sz w:val="20"/>
        </w:rPr>
        <w:t xml:space="preserve">[21] Barredo Arrieta, A., Díaz-Rodríguez, N., Del Ser, J., Bennetot, A., Tabik, S., et al., 2020. Explainable artificial intelligence (XAI): concepts, taxonomies, opportunities and challenges toward responsible AI. Information Fusion 58, 82–115.</w:t>
      </w:r>
    </w:p>
    <w:p>
      <w:pPr>
        <w:ind w:left="720" w:hanging="720"/>
        <w:spacing w:after="120"/>
      </w:pPr>
      <w:r>
        <w:rPr>
          <w:sz w:val="20"/>
        </w:rPr>
        <w:t xml:space="preserve">[22] Wysocki, O., Breslin, M., Peretz, D., Landers, D., 2023. Assessing the communication gap between AI models and healthcare professionals: explainability, utility and trust in AI-driven clinical decision-making. Journal of the American Medical Informatics Association 30 (9), 1531–1540.</w:t>
      </w:r>
    </w:p>
    <w:p>
      <w:pPr>
        <w:ind w:left="720" w:hanging="720"/>
        <w:spacing w:after="120"/>
      </w:pPr>
      <w:r>
        <w:rPr>
          <w:sz w:val="20"/>
        </w:rPr>
        <w:t xml:space="preserve">[23] Brankovic, A., Reilly, J., Cheng, L., 2023. Evaluation of popular XAI methods applied to clinical data. PLOS ONE 18 (4), e0280415.</w:t>
      </w:r>
    </w:p>
    <w:p>
      <w:pPr>
        <w:ind w:left="720" w:hanging="720"/>
        <w:spacing w:after="120"/>
      </w:pPr>
      <w:r>
        <w:rPr>
          <w:sz w:val="20"/>
        </w:rPr>
        <w:t xml:space="preserve">[24] Petkovic, D., 2023. It is not 'accuracy vs. explainability' — we need both for trustworthy AI systems. IEEE Access 11, 60263–60279.</w:t>
      </w:r>
    </w:p>
    <w:p>
      <w:pPr>
        <w:ind w:left="720" w:hanging="720"/>
        <w:spacing w:after="120"/>
      </w:pPr>
      <w:r>
        <w:rPr>
          <w:sz w:val="20"/>
        </w:rPr>
        <w:t xml:space="preserve">[25] Hassija, V., Chamola, V., Mahapatra, A., Singal, A., Goel, D., et al., 2024. Interpreting black-box models: a review on explainable artificial intelligence. Cognitive Computation 16 (1), 45–73.</w:t>
      </w:r>
    </w:p>
    <w:p>
      <w:pPr>
        <w:ind w:left="720" w:hanging="720"/>
        <w:spacing w:after="120"/>
      </w:pPr>
      <w:r>
        <w:rPr>
          <w:sz w:val="20"/>
        </w:rPr>
        <w:t xml:space="preserve">[26] Zadrozny, B., Elkan, C., 2001. Obtaining calibrated probability estimates from decision trees and naive Bayesian classifiers. In: Proceedings of the 18th International Conference on Machine Learning. pp. 609–616.</w:t>
      </w:r>
    </w:p>
    <w:p>
      <w:pPr>
        <w:ind w:left="720" w:hanging="720"/>
        <w:spacing w:after="120"/>
      </w:pPr>
      <w:r>
        <w:rPr>
          <w:sz w:val="20"/>
        </w:rPr>
        <w:t xml:space="preserve">[27] Niculescu-Mizil, A., Caruana, R., 2005. Predicting good probabilities with supervised learning. In: Proceedings of the 22nd International Conference on Machine Learning. pp. 625–632.</w:t>
      </w:r>
    </w:p>
    <w:p>
      <w:pPr>
        <w:ind w:left="720" w:hanging="720"/>
        <w:spacing w:after="120"/>
      </w:pPr>
      <w:r>
        <w:rPr>
          <w:sz w:val="20"/>
        </w:rPr>
        <w:t xml:space="preserve">[28] Guo, C., Pleiss, G., Sun, Y., Weinberger, K.Q., 2017. On calibration of modern neural networks. In: International Conference on Machine Learning (ICML). PMLR, pp. 1321–1330.</w:t>
      </w:r>
    </w:p>
    <w:p>
      <w:pPr>
        <w:ind w:left="720" w:hanging="720"/>
        <w:spacing w:after="120"/>
      </w:pPr>
      <w:r>
        <w:rPr>
          <w:sz w:val="20"/>
        </w:rPr>
        <w:t xml:space="preserve">[29] Royston, P., Altman, D.G., 2013. External validation of a Cox prognostic model: principles and methods. BMC Medical Research Methodology 13, 33.</w:t>
      </w:r>
    </w:p>
    <w:p>
      <w:pPr>
        <w:ind w:left="720" w:hanging="720"/>
        <w:spacing w:after="120"/>
      </w:pPr>
      <w:r>
        <w:rPr>
          <w:sz w:val="20"/>
        </w:rPr>
        <w:t xml:space="preserve">[30] Collins, G.S., Reitsma, J.B., Altman, D.G., Moons, K.G., 2015. Transparent reporting of a multivariable prediction model for individual prognosis or diagnosis (TRIPOD): the TRIPOD statement. BMJ 350, g7594.</w:t>
      </w:r>
    </w:p>
    <w:p>
      <w:pPr>
        <w:ind w:left="720" w:hanging="720"/>
        <w:spacing w:after="120"/>
      </w:pPr>
      <w:r>
        <w:rPr>
          <w:sz w:val="20"/>
        </w:rPr>
        <w:t xml:space="preserve">[31] Riley, R.D., Debray, T.P.A., Collins, G.S., Archer, L., Ensor, J., van Smeden, M., Moons, K.G., 2021. Minimum sample size for external validation of a clinical prediction model with a binary outcome. Statistics in Medicine 40 (19), 4230–4251.</w:t>
      </w:r>
    </w:p>
    <w:p>
      <w:pPr>
        <w:ind w:left="720" w:hanging="720"/>
        <w:spacing w:after="120"/>
      </w:pPr>
      <w:r>
        <w:rPr>
          <w:sz w:val="20"/>
        </w:rPr>
        <w:t xml:space="preserve">[32] Van Calster, B., Wynants, L., Verbeek, J.F.M., Verbakel, J.Y., Christodoulou, E., Vickers, A.J., Roobol, M.J., Steyerberg, E.W., 2019. Reporting and interpreting decision curve analysis: a guide for investigators. European Urology 74 (6), 796–804.</w:t>
      </w:r>
    </w:p>
    <w:p>
      <w:pPr>
        <w:ind w:left="720" w:hanging="720"/>
        <w:spacing w:after="120"/>
      </w:pPr>
      <w:r>
        <w:rPr>
          <w:sz w:val="20"/>
        </w:rPr>
        <w:t xml:space="preserve">[33] Lekadir, K., Osuala, R., Marias, K., et al., 2022. FUTURE-AI: international consensus guideline for trustworthy and deployable artificial intelligence in healthcare. arXiv preprint arXiv:2206.08874.</w:t>
      </w:r>
    </w:p>
    <w:p>
      <w:pPr>
        <w:ind w:left="720" w:hanging="720"/>
        <w:spacing w:after="120"/>
      </w:pPr>
      <w:r>
        <w:rPr>
          <w:sz w:val="20"/>
        </w:rPr>
        <w:t xml:space="preserve">[34] Ning, Y., Toh, M.P.H.S., Bhanu, M., Ong, J.C.L., Devi, M.K., et al., 2024. A roadmap to fair and trustworthy prediction model validation in healthcare. Journal of the American Medical Informatics Association 31 (3), 657–669.</w:t>
      </w:r>
    </w:p>
    <w:p>
      <w:pPr>
        <w:ind w:left="720" w:hanging="720"/>
        <w:spacing w:after="120"/>
      </w:pPr>
      <w:r>
        <w:rPr>
          <w:sz w:val="20"/>
        </w:rPr>
        <w:t xml:space="preserve">[35] Suresh, H., Guttag, J., 2021. A framework for understanding sources of harm throughout the machine learning life cycle. In: Proceedings of the 1st ACM Conference on Equity and Access in Algorithms, Mechanisms, and Optimization. pp. 1–9.</w:t>
      </w:r>
    </w:p>
    <w:p>
      <w:pPr>
        <w:ind w:left="720" w:hanging="720"/>
        <w:spacing w:after="120"/>
      </w:pPr>
      <w:r>
        <w:rPr>
          <w:sz w:val="20"/>
        </w:rPr>
        <w:t xml:space="preserve">[36] Grote, T., Berens, P., 2022. On the ethics of algorithmic decision-making in healthcare. Journal of Medical Ethics 46 (3), 205–211.</w:t>
      </w:r>
    </w:p>
    <w:p>
      <w:pPr>
        <w:ind w:left="720" w:hanging="720"/>
        <w:spacing w:after="120"/>
      </w:pPr>
      <w:r>
        <w:rPr>
          <w:sz w:val="20"/>
        </w:rPr>
        <w:t xml:space="preserve">[37] Sterne, J.A.C., Savović, J., Page, M.J., Elbers, R.G., Blencowe, N.S., et al., 2019. RoB 2: a revised tool for assessing risk of bias in randomised trials. BMJ 366, l4898.</w:t>
      </w:r>
    </w:p>
    <w:p>
      <w:pPr>
        <w:ind w:left="720" w:hanging="720"/>
        <w:spacing w:after="120"/>
      </w:pPr>
      <w:r>
        <w:rPr>
          <w:sz w:val="20"/>
        </w:rPr>
        <w:t xml:space="preserve">[38] Collins, G.S., Moons, K.G.M., Dhiman, P., et al., 2021. Protocol for development of a reporting guideline (TRIPOD-AI) and risk of bias tool (PROBAST-AI) for diagnostic and prognostic prediction model studies based on artificial intelligence. BMJ Open 11 (7), e048008.</w:t>
      </w:r>
    </w:p>
    <w:p>
      <w:pPr>
        <w:ind w:left="720" w:hanging="720"/>
        <w:spacing w:after="120"/>
      </w:pPr>
      <w:r>
        <w:rPr>
          <w:sz w:val="20"/>
        </w:rPr>
        <w:t xml:space="preserve">[39] DECIDE-AI Collaborators, 2022. Reporting guideline for the early-stage clinical evaluation of decision support systems driven by artificial intelligence: DECIDE-AI. Nature Medicine 28 (5), 924–933.</w:t>
      </w:r>
    </w:p>
    <w:p>
      <w:pPr>
        <w:ind w:left="720" w:hanging="720"/>
        <w:spacing w:after="120"/>
      </w:pPr>
      <w:r>
        <w:rPr>
          <w:sz w:val="20"/>
        </w:rPr>
        <w:t xml:space="preserve">[40] Collins, G.S., Moons, K.G.M., Dhiman, P., Riley, R.D., Beam, A.L., Van Calster, B., et al., 2024. TRIPOD+AI statement: updated guidance for reporting clinical prediction models that use regression or machine learning methods. BMJ 385, e078378.</w:t>
      </w:r>
    </w:p>
    <w:p>
      <w:pPr>
        <w:ind w:left="720" w:hanging="720"/>
        <w:spacing w:after="120"/>
      </w:pPr>
      <w:r>
        <w:rPr>
          <w:sz w:val="20"/>
        </w:rPr>
        <w:t xml:space="preserve">[41] Hussain, A., Bhatt, M., 2016. Pursuing minimally disruptive medicine: the relevance of complex adaptive systems. Journal of Evaluation in Clinical Practice 22 (3), 420–425.</w:t>
      </w:r>
    </w:p>
    <w:p>
      <w:pPr>
        <w:ind w:left="720" w:hanging="720"/>
        <w:spacing w:after="120"/>
      </w:pPr>
      <w:r>
        <w:rPr>
          <w:sz w:val="20"/>
        </w:rPr>
        <w:t xml:space="preserve">[42] Boehmer, K.R., Barakat, S., Ting, H.H., Prokop, L.J., Erwin, P.J., Montori, V.M., 2016. Health coaching interventions for persons with chronic conditions: a systematic review and meta-analysis protocol. Systematic Reviews 5, 146.</w:t>
      </w:r>
    </w:p>
    <w:p>
      <w:pPr>
        <w:ind w:left="720" w:hanging="720"/>
        <w:spacing w:after="120"/>
      </w:pPr>
      <w:r>
        <w:rPr>
          <w:sz w:val="20"/>
        </w:rPr>
        <w:t xml:space="preserve">[43] Davenport, T., Kalakota, R., 2019. The potential for artificial intelligence in healthcare. Future Healthcare Journal 6 (2), 94–98.</w:t>
      </w:r>
    </w:p>
    <w:sectPr w:rsidR="001269E5">
      <w:pgSz w:w="10890" w:h="14860"/>
      <w:pgMar w:top="940" w:right="708" w:bottom="760" w:left="708" w:header="673"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04F6" w14:textId="77777777" w:rsidR="008A0295" w:rsidRDefault="008A0295">
      <w:r>
        <w:separator/>
      </w:r>
    </w:p>
  </w:endnote>
  <w:endnote w:type="continuationSeparator" w:id="0">
    <w:p w14:paraId="5741BC1B" w14:textId="77777777" w:rsidR="008A0295" w:rsidRDefault="008A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5751" w14:textId="77777777" w:rsidR="001269E5" w:rsidRDefault="00000000">
    <w:pPr>
      <w:pStyle w:val="BodyText"/>
      <w:spacing w:before="0" w:line="14" w:lineRule="auto"/>
    </w:pPr>
    <w:r>
      <w:rPr>
        <w:noProof/>
      </w:rPr>
      <mc:AlternateContent>
        <mc:Choice Requires="wps">
          <w:drawing>
            <wp:anchor distT="0" distB="0" distL="0" distR="0" simplePos="0" relativeHeight="487410688" behindDoc="1" locked="0" layoutInCell="1" allowOverlap="1" wp14:anchorId="0F26CF7D" wp14:editId="5EF29539">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3D183" id="Graphic 1" o:spid="_x0000_s1026" style="position:absolute;margin-left:38.85pt;margin-top:700.65pt;width:466.6pt;height:.1pt;z-index:-15905792;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r>
      <w:rPr>
        <w:noProof/>
      </w:rPr>
      <mc:AlternateContent>
        <mc:Choice Requires="wps">
          <w:drawing>
            <wp:anchor distT="0" distB="0" distL="0" distR="0" simplePos="0" relativeHeight="487411200" behindDoc="1" locked="0" layoutInCell="1" allowOverlap="1" wp14:anchorId="1B5388FF" wp14:editId="6EBB5794">
              <wp:simplePos x="0" y="0"/>
              <wp:positionH relativeFrom="page">
                <wp:posOffset>480504</wp:posOffset>
              </wp:positionH>
              <wp:positionV relativeFrom="page">
                <wp:posOffset>8922466</wp:posOffset>
              </wp:positionV>
              <wp:extent cx="2679065"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179070"/>
                      </a:xfrm>
                      <a:prstGeom prst="rect">
                        <a:avLst/>
                      </a:prstGeom>
                    </wps:spPr>
                    <wps:txbx>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wps:txbx>
                    <wps:bodyPr wrap="square" lIns="0" tIns="0" rIns="0" bIns="0" rtlCol="0">
                      <a:noAutofit/>
                    </wps:bodyPr>
                  </wps:wsp>
                </a:graphicData>
              </a:graphic>
            </wp:anchor>
          </w:drawing>
        </mc:Choice>
        <mc:Fallback>
          <w:pict>
            <v:shapetype w14:anchorId="1B5388FF" id="_x0000_t202" coordsize="21600,21600" o:spt="202" path="m,l,21600r21600,l21600,xe">
              <v:stroke joinstyle="miter"/>
              <v:path gradientshapeok="t" o:connecttype="rect"/>
            </v:shapetype>
            <v:shape id="Textbox 2" o:spid="_x0000_s1026" type="#_x0000_t202" style="position:absolute;margin-left:37.85pt;margin-top:702.55pt;width:210.95pt;height:14.1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NRDkwEAABsDAAAOAAAAZHJzL2Uyb0RvYy54bWysUsGO0zAQvSPxD5bv1GkluhA1XQErENIK&#10;kHb5ANexm4jYY2bcJv17xt60RXBb7WU8tsdv3nvjze3kB3G0SD2ERi4XlRQ2GGj7sG/kz8fPb95J&#10;QUmHVg8QbCNPluTt9vWrzRhru4IOhtaiYJBA9Rgb2aUUa6XIdNZrWkC0gS8doNeJt7hXLeqR0f2g&#10;VlW1ViNgGxGMJeLTu6dLuS34zlmTvjtHNomhkcwtlYgl7nJU242u96hj15uZhn4GC6/7wE0vUHc6&#10;aXHA/j8o3xsEApcWBrwC53pjiwZWs6z+UfPQ6WiLFjaH4sUmejlY8+34EH+gSNNHmHiARQTFezC/&#10;iL1RY6R6rsmeUk1cnYVODn1eWYLgh+zt6eKnnZIwfLha37yv1m+lMHy35PymGK6uryNS+mLBi5w0&#10;EnlehYE+3lPK/XV9LpnJPPXPTNK0m7gkpztoTyxi5Dk2kn4fNFophq+BjcpDPyd4TnbnBNPwCcrX&#10;yFoCfDgkcH3pfMWdO/MECqH5t+QR/70vVdc/vf0DAAD//wMAUEsDBBQABgAIAAAAIQAjAF5w4QAA&#10;AAwBAAAPAAAAZHJzL2Rvd25yZXYueG1sTI/BTsMwDIbvSLxDZCRuLB3d2q1rOk0ITkiIrhw4pk3W&#10;Rmuc0mRbeXu80zj696ffn/PtZHt21qM3DgXMZxEwjY1TBlsBX9Xb0wqYDxKV7B1qAb/aw7a4v8tl&#10;ptwFS33eh5ZRCfpMCuhCGDLOfdNpK/3MDRppd3CjlYHGseVqlBcqtz1/jqKEW2mQLnRy0C+dbo77&#10;kxWw+8by1fx81J/loTRVtY7wPTkK8fgw7TbAgp7CDYarPqlDQU61O6HyrBeQLlMiKV9EyzkwIhbr&#10;NAFWX6M4joEXOf//RPEHAAD//wMAUEsBAi0AFAAGAAgAAAAhALaDOJL+AAAA4QEAABMAAAAAAAAA&#10;AAAAAAAAAAAAAFtDb250ZW50X1R5cGVzXS54bWxQSwECLQAUAAYACAAAACEAOP0h/9YAAACUAQAA&#10;CwAAAAAAAAAAAAAAAAAvAQAAX3JlbHMvLnJlbHNQSwECLQAUAAYACAAAACEAjejUQ5MBAAAbAwAA&#10;DgAAAAAAAAAAAAAAAAAuAgAAZHJzL2Uyb0RvYy54bWxQSwECLQAUAAYACAAAACEAIwBecOEAAAAM&#10;AQAADwAAAAAAAAAAAAAAAADtAwAAZHJzL2Rvd25yZXYueG1sUEsFBgAAAAAEAAQA8wAAAPsEAAAA&#10;AA==&#10;" filled="f" stroked="f">
              <v:textbox inset="0,0,0,0">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7411712" behindDoc="1" locked="0" layoutInCell="1" allowOverlap="1" wp14:anchorId="241BCAC5" wp14:editId="593EA0BC">
              <wp:simplePos x="0" y="0"/>
              <wp:positionH relativeFrom="page">
                <wp:posOffset>5836361</wp:posOffset>
              </wp:positionH>
              <wp:positionV relativeFrom="page">
                <wp:posOffset>8940927</wp:posOffset>
              </wp:positionV>
              <wp:extent cx="5956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52400"/>
                      </a:xfrm>
                      <a:prstGeom prst="rect">
                        <a:avLst/>
                      </a:prstGeom>
                    </wps:spPr>
                    <wps:txbx>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wps:txbx>
                    <wps:bodyPr wrap="square" lIns="0" tIns="0" rIns="0" bIns="0" rtlCol="0">
                      <a:noAutofit/>
                    </wps:bodyPr>
                  </wps:wsp>
                </a:graphicData>
              </a:graphic>
            </wp:anchor>
          </w:drawing>
        </mc:Choice>
        <mc:Fallback>
          <w:pict>
            <v:shape w14:anchorId="241BCAC5" id="Textbox 3" o:spid="_x0000_s1027" type="#_x0000_t202" style="position:absolute;margin-left:459.55pt;margin-top:704pt;width:46.9pt;height:12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KKlwEAACEDAAAOAAAAZHJzL2Uyb0RvYy54bWysUsGO0zAQvSPxD5bvNGmhK4iaroAVCGkF&#10;SMt+gOvYjUXsMTNuk/49Y2/aIvaGuIzHnvHze2+8uZ38II4GyUFo5XJRS2GChs6FfSsff3x69VYK&#10;Sip0aoBgWnkyJG+3L19sxtiYFfQwdAYFgwRqxtjKPqXYVBXp3nhFC4gmcNECepV4i/uqQzUyuh+q&#10;VV3fVCNgFxG0IeLTu6ei3BZ8a41O36wlk8TQSuaWSsQSdzlW241q9qhi7/RMQ/0DC69c4EcvUHcq&#10;KXFA9wzKO41AYNNCg6/AWqdN0cBqlvVfah56FU3RwuZQvNhE/w9Wfz0+xO8o0vQBJh5gEUHxHvRP&#10;Ym+qMVIz92RPqSHuzkIniz6vLEHwRfb2dPHTTEloPly/W9+85orm0nK9elMXv6vr5YiUPhvwIiet&#10;RB5XIaCO95Ty86o5t8xcnp7PRNK0m4TrMmfuzCc76E4sZeRptpJ+HRQaKYYvge3Koz8neE525wTT&#10;8BHKB8mKArw/JLCuELjizgR4DoXX/GfyoP/cl67rz97+BgAA//8DAFBLAwQUAAYACAAAACEAQqAG&#10;GuEAAAAOAQAADwAAAGRycy9kb3ducmV2LnhtbEyPwU7DMBBE70j8g7VI3KidgKomxKkqBCckRBoO&#10;HJ3YTazG6xC7bfh7Nid63Jmn2ZliO7uBnc0UrEcJyUoAM9h6bbGT8FW/PWyAhahQq8GjkfBrAmzL&#10;25tC5dpfsDLnfewYhWDIlYQ+xjHnPLS9cSqs/GiQvIOfnIp0Th3Xk7pQuBt4KsSaO2WRPvRqNC+9&#10;aY/7k5Ow+8bq1f58NJ/VobJ1nQl8Xx+lvL+bd8/AopnjPwxLfaoOJXVq/Al1YIOELMkSQsl4Ehta&#10;tSAiSTNgzaI9pgJ4WfDrGeUfAAAA//8DAFBLAQItABQABgAIAAAAIQC2gziS/gAAAOEBAAATAAAA&#10;AAAAAAAAAAAAAAAAAABbQ29udGVudF9UeXBlc10ueG1sUEsBAi0AFAAGAAgAAAAhADj9If/WAAAA&#10;lAEAAAsAAAAAAAAAAAAAAAAALwEAAF9yZWxzLy5yZWxzUEsBAi0AFAAGAAgAAAAhAOGtMoqXAQAA&#10;IQMAAA4AAAAAAAAAAAAAAAAALgIAAGRycy9lMm9Eb2MueG1sUEsBAi0AFAAGAAgAAAAhAEKgBhrh&#10;AAAADgEAAA8AAAAAAAAAAAAAAAAA8QMAAGRycy9kb3ducmV2LnhtbFBLBQYAAAAABAAEAPMAAAD/&#10;BAAAAAA=&#10;" filled="f" stroked="f">
              <v:textbox inset="0,0,0,0">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A4B6" w14:textId="77777777" w:rsidR="008A0295" w:rsidRDefault="008A0295">
      <w:r>
        <w:separator/>
      </w:r>
    </w:p>
  </w:footnote>
  <w:footnote w:type="continuationSeparator" w:id="0">
    <w:p w14:paraId="37CD8EC5" w14:textId="77777777" w:rsidR="008A0295" w:rsidRDefault="008A0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2DB8"/>
    <w:multiLevelType w:val="hybridMultilevel"/>
    <w:tmpl w:val="2A767164"/>
    <w:lvl w:ilvl="0" w:tplc="987A2BAA">
      <w:start w:val="1"/>
      <w:numFmt w:val="decimal"/>
      <w:lvlText w:val="%1."/>
      <w:lvlJc w:val="left"/>
      <w:pPr>
        <w:ind w:left="367"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tplc="71D2203E">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51BAC68A">
      <w:numFmt w:val="bullet"/>
      <w:lvlText w:val="•"/>
      <w:lvlJc w:val="left"/>
      <w:pPr>
        <w:ind w:left="560" w:hanging="204"/>
      </w:pPr>
      <w:rPr>
        <w:rFonts w:hint="default"/>
        <w:lang w:val="en-US" w:eastAsia="en-US" w:bidi="ar-SA"/>
      </w:rPr>
    </w:lvl>
    <w:lvl w:ilvl="3" w:tplc="2520C17E">
      <w:numFmt w:val="bullet"/>
      <w:lvlText w:val="•"/>
      <w:lvlJc w:val="left"/>
      <w:pPr>
        <w:ind w:left="1673" w:hanging="204"/>
      </w:pPr>
      <w:rPr>
        <w:rFonts w:hint="default"/>
        <w:lang w:val="en-US" w:eastAsia="en-US" w:bidi="ar-SA"/>
      </w:rPr>
    </w:lvl>
    <w:lvl w:ilvl="4" w:tplc="B3E26986">
      <w:numFmt w:val="bullet"/>
      <w:lvlText w:val="•"/>
      <w:lvlJc w:val="left"/>
      <w:pPr>
        <w:ind w:left="2787" w:hanging="204"/>
      </w:pPr>
      <w:rPr>
        <w:rFonts w:hint="default"/>
        <w:lang w:val="en-US" w:eastAsia="en-US" w:bidi="ar-SA"/>
      </w:rPr>
    </w:lvl>
    <w:lvl w:ilvl="5" w:tplc="A7060220">
      <w:numFmt w:val="bullet"/>
      <w:lvlText w:val="•"/>
      <w:lvlJc w:val="left"/>
      <w:pPr>
        <w:ind w:left="3900" w:hanging="204"/>
      </w:pPr>
      <w:rPr>
        <w:rFonts w:hint="default"/>
        <w:lang w:val="en-US" w:eastAsia="en-US" w:bidi="ar-SA"/>
      </w:rPr>
    </w:lvl>
    <w:lvl w:ilvl="6" w:tplc="00DE833E">
      <w:numFmt w:val="bullet"/>
      <w:lvlText w:val="•"/>
      <w:lvlJc w:val="left"/>
      <w:pPr>
        <w:ind w:left="5014" w:hanging="204"/>
      </w:pPr>
      <w:rPr>
        <w:rFonts w:hint="default"/>
        <w:lang w:val="en-US" w:eastAsia="en-US" w:bidi="ar-SA"/>
      </w:rPr>
    </w:lvl>
    <w:lvl w:ilvl="7" w:tplc="769CDD6A">
      <w:numFmt w:val="bullet"/>
      <w:lvlText w:val="•"/>
      <w:lvlJc w:val="left"/>
      <w:pPr>
        <w:ind w:left="6128" w:hanging="204"/>
      </w:pPr>
      <w:rPr>
        <w:rFonts w:hint="default"/>
        <w:lang w:val="en-US" w:eastAsia="en-US" w:bidi="ar-SA"/>
      </w:rPr>
    </w:lvl>
    <w:lvl w:ilvl="8" w:tplc="D144D9A6">
      <w:numFmt w:val="bullet"/>
      <w:lvlText w:val="•"/>
      <w:lvlJc w:val="left"/>
      <w:pPr>
        <w:ind w:left="7241" w:hanging="204"/>
      </w:pPr>
      <w:rPr>
        <w:rFonts w:hint="default"/>
        <w:lang w:val="en-US" w:eastAsia="en-US" w:bidi="ar-SA"/>
      </w:rPr>
    </w:lvl>
  </w:abstractNum>
  <w:abstractNum w:abstractNumId="1" w15:restartNumberingAfterBreak="0">
    <w:nsid w:val="2F557DC6"/>
    <w:multiLevelType w:val="hybridMultilevel"/>
    <w:tmpl w:val="E146BD6E"/>
    <w:lvl w:ilvl="0" w:tplc="C16602E2">
      <w:start w:val="1"/>
      <w:numFmt w:val="decimal"/>
      <w:lvlText w:val="%1."/>
      <w:lvlJc w:val="left"/>
      <w:pPr>
        <w:ind w:left="56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A188742">
      <w:numFmt w:val="bullet"/>
      <w:lvlText w:val="•"/>
      <w:lvlJc w:val="left"/>
      <w:pPr>
        <w:ind w:left="1450" w:hanging="250"/>
      </w:pPr>
      <w:rPr>
        <w:rFonts w:hint="default"/>
        <w:lang w:val="en-US" w:eastAsia="en-US" w:bidi="ar-SA"/>
      </w:rPr>
    </w:lvl>
    <w:lvl w:ilvl="2" w:tplc="6EB4896E">
      <w:numFmt w:val="bullet"/>
      <w:lvlText w:val="•"/>
      <w:lvlJc w:val="left"/>
      <w:pPr>
        <w:ind w:left="2341" w:hanging="250"/>
      </w:pPr>
      <w:rPr>
        <w:rFonts w:hint="default"/>
        <w:lang w:val="en-US" w:eastAsia="en-US" w:bidi="ar-SA"/>
      </w:rPr>
    </w:lvl>
    <w:lvl w:ilvl="3" w:tplc="BBE849D0">
      <w:numFmt w:val="bullet"/>
      <w:lvlText w:val="•"/>
      <w:lvlJc w:val="left"/>
      <w:pPr>
        <w:ind w:left="3232" w:hanging="250"/>
      </w:pPr>
      <w:rPr>
        <w:rFonts w:hint="default"/>
        <w:lang w:val="en-US" w:eastAsia="en-US" w:bidi="ar-SA"/>
      </w:rPr>
    </w:lvl>
    <w:lvl w:ilvl="4" w:tplc="447A526E">
      <w:numFmt w:val="bullet"/>
      <w:lvlText w:val="•"/>
      <w:lvlJc w:val="left"/>
      <w:pPr>
        <w:ind w:left="4123" w:hanging="250"/>
      </w:pPr>
      <w:rPr>
        <w:rFonts w:hint="default"/>
        <w:lang w:val="en-US" w:eastAsia="en-US" w:bidi="ar-SA"/>
      </w:rPr>
    </w:lvl>
    <w:lvl w:ilvl="5" w:tplc="D398E6BE">
      <w:numFmt w:val="bullet"/>
      <w:lvlText w:val="•"/>
      <w:lvlJc w:val="left"/>
      <w:pPr>
        <w:ind w:left="5014" w:hanging="250"/>
      </w:pPr>
      <w:rPr>
        <w:rFonts w:hint="default"/>
        <w:lang w:val="en-US" w:eastAsia="en-US" w:bidi="ar-SA"/>
      </w:rPr>
    </w:lvl>
    <w:lvl w:ilvl="6" w:tplc="C8841486">
      <w:numFmt w:val="bullet"/>
      <w:lvlText w:val="•"/>
      <w:lvlJc w:val="left"/>
      <w:pPr>
        <w:ind w:left="5905" w:hanging="250"/>
      </w:pPr>
      <w:rPr>
        <w:rFonts w:hint="default"/>
        <w:lang w:val="en-US" w:eastAsia="en-US" w:bidi="ar-SA"/>
      </w:rPr>
    </w:lvl>
    <w:lvl w:ilvl="7" w:tplc="AEF8FB10">
      <w:numFmt w:val="bullet"/>
      <w:lvlText w:val="•"/>
      <w:lvlJc w:val="left"/>
      <w:pPr>
        <w:ind w:left="6796" w:hanging="250"/>
      </w:pPr>
      <w:rPr>
        <w:rFonts w:hint="default"/>
        <w:lang w:val="en-US" w:eastAsia="en-US" w:bidi="ar-SA"/>
      </w:rPr>
    </w:lvl>
    <w:lvl w:ilvl="8" w:tplc="5A388ADC">
      <w:numFmt w:val="bullet"/>
      <w:lvlText w:val="•"/>
      <w:lvlJc w:val="left"/>
      <w:pPr>
        <w:ind w:left="7687" w:hanging="250"/>
      </w:pPr>
      <w:rPr>
        <w:rFonts w:hint="default"/>
        <w:lang w:val="en-US" w:eastAsia="en-US" w:bidi="ar-SA"/>
      </w:rPr>
    </w:lvl>
  </w:abstractNum>
  <w:abstractNum w:abstractNumId="2" w15:restartNumberingAfterBreak="0">
    <w:nsid w:val="4C1D46D5"/>
    <w:multiLevelType w:val="hybridMultilevel"/>
    <w:tmpl w:val="522E08EA"/>
    <w:lvl w:ilvl="0" w:tplc="389C4AD0">
      <w:start w:val="1"/>
      <w:numFmt w:val="decimal"/>
      <w:lvlText w:val="(%1)"/>
      <w:lvlJc w:val="left"/>
      <w:pPr>
        <w:ind w:left="400" w:hanging="3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A4EE20">
      <w:numFmt w:val="bullet"/>
      <w:lvlText w:val="•"/>
      <w:lvlJc w:val="left"/>
      <w:pPr>
        <w:ind w:left="1306" w:hanging="332"/>
      </w:pPr>
      <w:rPr>
        <w:rFonts w:hint="default"/>
        <w:lang w:val="en-US" w:eastAsia="en-US" w:bidi="ar-SA"/>
      </w:rPr>
    </w:lvl>
    <w:lvl w:ilvl="2" w:tplc="09487FA2">
      <w:numFmt w:val="bullet"/>
      <w:lvlText w:val="•"/>
      <w:lvlJc w:val="left"/>
      <w:pPr>
        <w:ind w:left="2213" w:hanging="332"/>
      </w:pPr>
      <w:rPr>
        <w:rFonts w:hint="default"/>
        <w:lang w:val="en-US" w:eastAsia="en-US" w:bidi="ar-SA"/>
      </w:rPr>
    </w:lvl>
    <w:lvl w:ilvl="3" w:tplc="C8B41590">
      <w:numFmt w:val="bullet"/>
      <w:lvlText w:val="•"/>
      <w:lvlJc w:val="left"/>
      <w:pPr>
        <w:ind w:left="3120" w:hanging="332"/>
      </w:pPr>
      <w:rPr>
        <w:rFonts w:hint="default"/>
        <w:lang w:val="en-US" w:eastAsia="en-US" w:bidi="ar-SA"/>
      </w:rPr>
    </w:lvl>
    <w:lvl w:ilvl="4" w:tplc="A8C86C6C">
      <w:numFmt w:val="bullet"/>
      <w:lvlText w:val="•"/>
      <w:lvlJc w:val="left"/>
      <w:pPr>
        <w:ind w:left="4027" w:hanging="332"/>
      </w:pPr>
      <w:rPr>
        <w:rFonts w:hint="default"/>
        <w:lang w:val="en-US" w:eastAsia="en-US" w:bidi="ar-SA"/>
      </w:rPr>
    </w:lvl>
    <w:lvl w:ilvl="5" w:tplc="E1924B82">
      <w:numFmt w:val="bullet"/>
      <w:lvlText w:val="•"/>
      <w:lvlJc w:val="left"/>
      <w:pPr>
        <w:ind w:left="4934" w:hanging="332"/>
      </w:pPr>
      <w:rPr>
        <w:rFonts w:hint="default"/>
        <w:lang w:val="en-US" w:eastAsia="en-US" w:bidi="ar-SA"/>
      </w:rPr>
    </w:lvl>
    <w:lvl w:ilvl="6" w:tplc="23A86502">
      <w:numFmt w:val="bullet"/>
      <w:lvlText w:val="•"/>
      <w:lvlJc w:val="left"/>
      <w:pPr>
        <w:ind w:left="5841" w:hanging="332"/>
      </w:pPr>
      <w:rPr>
        <w:rFonts w:hint="default"/>
        <w:lang w:val="en-US" w:eastAsia="en-US" w:bidi="ar-SA"/>
      </w:rPr>
    </w:lvl>
    <w:lvl w:ilvl="7" w:tplc="64DE041C">
      <w:numFmt w:val="bullet"/>
      <w:lvlText w:val="•"/>
      <w:lvlJc w:val="left"/>
      <w:pPr>
        <w:ind w:left="6748" w:hanging="332"/>
      </w:pPr>
      <w:rPr>
        <w:rFonts w:hint="default"/>
        <w:lang w:val="en-US" w:eastAsia="en-US" w:bidi="ar-SA"/>
      </w:rPr>
    </w:lvl>
    <w:lvl w:ilvl="8" w:tplc="0986D680">
      <w:numFmt w:val="bullet"/>
      <w:lvlText w:val="•"/>
      <w:lvlJc w:val="left"/>
      <w:pPr>
        <w:ind w:left="7655" w:hanging="332"/>
      </w:pPr>
      <w:rPr>
        <w:rFonts w:hint="default"/>
        <w:lang w:val="en-US" w:eastAsia="en-US" w:bidi="ar-SA"/>
      </w:rPr>
    </w:lvl>
  </w:abstractNum>
  <w:abstractNum w:abstractNumId="3" w15:restartNumberingAfterBreak="0">
    <w:nsid w:val="4CF47527"/>
    <w:multiLevelType w:val="hybridMultilevel"/>
    <w:tmpl w:val="704A56FE"/>
    <w:lvl w:ilvl="0" w:tplc="B4BE5302">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DCBEFB4E">
      <w:numFmt w:val="bullet"/>
      <w:lvlText w:val="•"/>
      <w:lvlJc w:val="left"/>
      <w:pPr>
        <w:ind w:left="1450" w:hanging="204"/>
      </w:pPr>
      <w:rPr>
        <w:rFonts w:hint="default"/>
        <w:lang w:val="en-US" w:eastAsia="en-US" w:bidi="ar-SA"/>
      </w:rPr>
    </w:lvl>
    <w:lvl w:ilvl="2" w:tplc="63204FF6">
      <w:numFmt w:val="bullet"/>
      <w:lvlText w:val="•"/>
      <w:lvlJc w:val="left"/>
      <w:pPr>
        <w:ind w:left="2341" w:hanging="204"/>
      </w:pPr>
      <w:rPr>
        <w:rFonts w:hint="default"/>
        <w:lang w:val="en-US" w:eastAsia="en-US" w:bidi="ar-SA"/>
      </w:rPr>
    </w:lvl>
    <w:lvl w:ilvl="3" w:tplc="07EE9F76">
      <w:numFmt w:val="bullet"/>
      <w:lvlText w:val="•"/>
      <w:lvlJc w:val="left"/>
      <w:pPr>
        <w:ind w:left="3232" w:hanging="204"/>
      </w:pPr>
      <w:rPr>
        <w:rFonts w:hint="default"/>
        <w:lang w:val="en-US" w:eastAsia="en-US" w:bidi="ar-SA"/>
      </w:rPr>
    </w:lvl>
    <w:lvl w:ilvl="4" w:tplc="F14487A2">
      <w:numFmt w:val="bullet"/>
      <w:lvlText w:val="•"/>
      <w:lvlJc w:val="left"/>
      <w:pPr>
        <w:ind w:left="4123" w:hanging="204"/>
      </w:pPr>
      <w:rPr>
        <w:rFonts w:hint="default"/>
        <w:lang w:val="en-US" w:eastAsia="en-US" w:bidi="ar-SA"/>
      </w:rPr>
    </w:lvl>
    <w:lvl w:ilvl="5" w:tplc="F16095D6">
      <w:numFmt w:val="bullet"/>
      <w:lvlText w:val="•"/>
      <w:lvlJc w:val="left"/>
      <w:pPr>
        <w:ind w:left="5014" w:hanging="204"/>
      </w:pPr>
      <w:rPr>
        <w:rFonts w:hint="default"/>
        <w:lang w:val="en-US" w:eastAsia="en-US" w:bidi="ar-SA"/>
      </w:rPr>
    </w:lvl>
    <w:lvl w:ilvl="6" w:tplc="DD1C3D0C">
      <w:numFmt w:val="bullet"/>
      <w:lvlText w:val="•"/>
      <w:lvlJc w:val="left"/>
      <w:pPr>
        <w:ind w:left="5905" w:hanging="204"/>
      </w:pPr>
      <w:rPr>
        <w:rFonts w:hint="default"/>
        <w:lang w:val="en-US" w:eastAsia="en-US" w:bidi="ar-SA"/>
      </w:rPr>
    </w:lvl>
    <w:lvl w:ilvl="7" w:tplc="61A43F40">
      <w:numFmt w:val="bullet"/>
      <w:lvlText w:val="•"/>
      <w:lvlJc w:val="left"/>
      <w:pPr>
        <w:ind w:left="6796" w:hanging="204"/>
      </w:pPr>
      <w:rPr>
        <w:rFonts w:hint="default"/>
        <w:lang w:val="en-US" w:eastAsia="en-US" w:bidi="ar-SA"/>
      </w:rPr>
    </w:lvl>
    <w:lvl w:ilvl="8" w:tplc="DB84F370">
      <w:numFmt w:val="bullet"/>
      <w:lvlText w:val="•"/>
      <w:lvlJc w:val="left"/>
      <w:pPr>
        <w:ind w:left="7687" w:hanging="204"/>
      </w:pPr>
      <w:rPr>
        <w:rFonts w:hint="default"/>
        <w:lang w:val="en-US" w:eastAsia="en-US" w:bidi="ar-SA"/>
      </w:rPr>
    </w:lvl>
  </w:abstractNum>
  <w:abstractNum w:abstractNumId="4" w15:restartNumberingAfterBreak="0">
    <w:nsid w:val="61484109"/>
    <w:multiLevelType w:val="hybridMultilevel"/>
    <w:tmpl w:val="567C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580419">
    <w:abstractNumId w:val="2"/>
  </w:num>
  <w:num w:numId="2" w16cid:durableId="1198740801">
    <w:abstractNumId w:val="1"/>
  </w:num>
  <w:num w:numId="3" w16cid:durableId="935405506">
    <w:abstractNumId w:val="0"/>
  </w:num>
  <w:num w:numId="4" w16cid:durableId="267935590">
    <w:abstractNumId w:val="3"/>
  </w:num>
  <w:num w:numId="5" w16cid:durableId="49771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69E5"/>
    <w:rsid w:val="001269E5"/>
    <w:rsid w:val="003927CB"/>
    <w:rsid w:val="00511764"/>
    <w:rsid w:val="00886A09"/>
    <w:rsid w:val="008A0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A078"/>
  <w15:docId w15:val="{049FF946-F42F-49C3-A614-09E13FF3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hanging="29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0"/>
      <w:szCs w:val="20"/>
    </w:rPr>
  </w:style>
  <w:style w:type="paragraph" w:styleId="ListParagraph">
    <w:name w:val="List Paragraph"/>
    <w:basedOn w:val="Normal"/>
    <w:uiPriority w:val="1"/>
    <w:qFormat/>
    <w:pPr>
      <w:ind w:left="366" w:hanging="203"/>
    </w:pPr>
  </w:style>
  <w:style w:type="paragraph" w:customStyle="1" w:styleId="TableParagraph">
    <w:name w:val="Table Paragraph"/>
    <w:basedOn w:val="Normal"/>
    <w:uiPriority w:val="1"/>
    <w:qFormat/>
    <w:pPr>
      <w:spacing w:line="199" w:lineRule="exact"/>
      <w:ind w:left="110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This is a specimen ab title</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cp:lastModifiedBy>Tanya Deep</cp:lastModifiedBy>
  <cp:revision>2</cp:revision>
  <dcterms:created xsi:type="dcterms:W3CDTF">2026-07-06T13:47:00Z</dcterms:created>
  <dcterms:modified xsi:type="dcterms:W3CDTF">2026-07-07T06:43:00Z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2023-04-29T00:00:00Z</vt:filetime>
  </property>
  <property fmtid="{D5CDD505-2E9C-101B-9397-08002B2CF9AE}" pid="4" name="Creator">
    <vt:lpwstr>LaTeX3; cas-sc.cls; hyperref.sty</vt:lpwstr>
  </property>
  <property fmtid="{D5CDD505-2E9C-101B-9397-08002B2CF9AE}" pid="5" name="LastSaved">
    <vt:filetime>2026-07-06T00:00:00Z</vt:filetime>
  </property>
  <property fmtid="{D5CDD505-2E9C-101B-9397-08002B2CF9AE}" pid="6" name="PTEX.Fullbanner">
    <vt:lpwstr>This is pdfTeX, Version 3.141592653-2.6-1.40.24 (TeX Live 2022) kpathsea version 6.3.4</vt:lpwstr>
  </property>
  <property fmtid="{D5CDD505-2E9C-101B-9397-08002B2CF9AE}" pid="7" name="Producer">
    <vt:lpwstr>pdfTeX;</vt:lpwstr>
  </property>
</Properties>
</file>