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sz w:val="26"/>
          <w:szCs w:val="26"/>
        </w:rPr>
        <w:t xml:space="preserve">BMS INSTITUTE OF TECHNOLOGY AND MANAGEMENT</w:t>
      </w:r>
    </w:p>
    <w:p>
      <w:pPr>
        <w:spacing w:after="20"/>
        <w:jc w:val="center"/>
      </w:pPr>
      <w:r>
        <w:rPr>
          <w:sz w:val="20"/>
          <w:szCs w:val="20"/>
        </w:rPr>
        <w:t xml:space="preserve">Autonomous Institute under VTU, Belagavi, Karnataka – 590 018</w:t>
      </w:r>
    </w:p>
    <w:p>
      <w:pPr>
        <w:spacing w:after="600"/>
        <w:jc w:val="center"/>
      </w:pPr>
      <w:r>
        <w:rPr>
          <w:sz w:val="20"/>
          <w:szCs w:val="20"/>
        </w:rPr>
        <w:t xml:space="preserve">Yelahanka, Bengaluru, Karnataka – 560 119</w:t>
      </w:r>
    </w:p>
    <w:p>
      <w:pPr>
        <w:spacing w:after="800"/>
        <w:jc w:val="center"/>
      </w:pPr>
      <w:r>
        <w:rPr>
          <w:b/>
          <w:bCs/>
          <w:sz w:val="22"/>
          <w:szCs w:val="22"/>
        </w:rPr>
        <w:t xml:space="preserve">DEPARTMENT OF INFORMATION SCIENCE AND ENGINEERING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Dataset Documentation</w:t>
      </w:r>
    </w:p>
    <w:p>
      <w:pPr>
        <w:spacing w:after="120"/>
        <w:jc w:val="center"/>
      </w:pPr>
      <w:r>
        <w:rPr>
          <w:b/>
          <w:bCs/>
          <w:color w:val="1F3864"/>
          <w:sz w:val="34"/>
          <w:szCs w:val="34"/>
        </w:rPr>
        <w:t xml:space="preserve">Dataset Documentation</w:t>
      </w:r>
    </w:p>
    <w:p>
      <w:pPr>
        <w:spacing w:after="400"/>
        <w:jc w:val="center"/>
      </w:pPr>
      <w:r>
        <w:rPr>
          <w:sz w:val="22"/>
          <w:szCs w:val="22"/>
        </w:rPr>
        <w:t xml:space="preserve">Sources, Licensing, Collection Rules, and Preprocessing</w:t>
      </w:r>
    </w:p>
    <w:p>
      <w:pPr>
        <w:spacing w:after="40"/>
        <w:jc w:val="center"/>
      </w:pPr>
      <w:r>
        <w:rPr>
          <w:sz w:val="20"/>
          <w:szCs w:val="20"/>
        </w:rPr>
        <w:t xml:space="preserve">Project: ARES – Conflict Escalation Early-Warning System</w:t>
      </w:r>
    </w:p>
    <w:p>
      <w:pPr>
        <w:spacing w:after="600"/>
        <w:jc w:val="center"/>
      </w:pPr>
      <w:r>
        <w:rPr>
          <w:sz w:val="20"/>
          <w:szCs w:val="20"/>
        </w:rPr>
        <w:t xml:space="preserve">Major Project – Information Science and Engineering (2022 Scheme)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Prepared by</w:t>
      </w:r>
    </w:p>
    <w:p>
      <w:pPr>
        <w:spacing w:after="40"/>
        <w:jc w:val="center"/>
      </w:pPr>
      <w:r>
        <w:rPr>
          <w:sz w:val="20"/>
          <w:szCs w:val="20"/>
        </w:rPr>
        <w:t xml:space="preserve">Ms. Shirin S Hegde   1BY23IS198  —  Data Engineering &amp; Integration Lead</w:t>
      </w:r>
    </w:p>
    <w:p>
      <w:pPr>
        <w:spacing w:after="40"/>
        <w:jc w:val="center"/>
      </w:pPr>
      <w:r>
        <w:rPr>
          <w:sz w:val="20"/>
          <w:szCs w:val="20"/>
        </w:rPr>
        <w:t xml:space="preserve">Ms. Sreshta Karthikeyan   1BY23IS215  —  AI/ML Model Developer</w:t>
      </w:r>
    </w:p>
    <w:p>
      <w:pPr>
        <w:spacing w:after="40"/>
        <w:jc w:val="center"/>
      </w:pPr>
      <w:r>
        <w:rPr>
          <w:sz w:val="20"/>
          <w:szCs w:val="20"/>
        </w:rPr>
        <w:t xml:space="preserve">Ms. Tanya Deep   1BY23IS231  —  System Development &amp; Visualization Lead</w:t>
      </w:r>
    </w:p>
    <w:p>
      <w:pPr>
        <w:spacing w:after="400"/>
      </w:pPr>
      <w:r>
        <w:rPr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sz w:val="20"/>
          <w:szCs w:val="20"/>
        </w:rPr>
        <w:t xml:space="preserve">Under the Guidance of</w:t>
      </w:r>
    </w:p>
    <w:p>
      <w:pPr>
        <w:spacing w:after="600"/>
        <w:jc w:val="center"/>
      </w:pPr>
      <w:r>
        <w:rPr>
          <w:b/>
          <w:bCs/>
          <w:sz w:val="20"/>
          <w:szCs w:val="20"/>
        </w:rPr>
        <w:t xml:space="preserve">Prof. Sneha Sureddy, Assistant Professor, Dept. of ISE</w:t>
      </w:r>
    </w:p>
    <w:p>
      <w:pPr>
        <w:spacing w:after="200"/>
        <w:jc w:val="center"/>
      </w:pPr>
      <w:r>
        <w:rPr>
          <w:sz w:val="20"/>
          <w:szCs w:val="20"/>
        </w:rPr>
        <w:t xml:space="preserve">February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60"/>
        <w:jc w:val="left"/>
      </w:pPr>
      <w:r>
        <w:rPr>
          <w:sz w:val="22"/>
          <w:szCs w:val="22"/>
        </w:rPr>
        <w:t xml:space="preserve">ARES draws on four categories of open data, each owned by one collection lead, linked into the system via a common Region_Key. Thrisha H M's original contribution to the Military &amp; Diplomatic Signals dataset is retained and incorporated into this documentation; ongoing ownership of that stream is distributed across the remaining three team members alongside their existing areas.</w:t>
      </w:r>
    </w:p>
    <w:p>
      <w:pPr>
        <w:pStyle w:val="Heading1"/>
        <w:spacing w:after="160" w:before="320"/>
      </w:pPr>
      <w:r>
        <w:t xml:space="preserve">2. Common Collection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Date format: YYYY-MM-DD throughout all datasets.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Region/country names kept consistent across all datasets (standardized against the regions.region_name lookup).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Duplicate rows removed before load.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Only clean CSV files submitted for ingestion — no merged cells, no embedded formatting.</w:t>
      </w:r>
    </w:p>
    <w:p>
      <w:pPr>
        <w:pStyle w:val="Heading1"/>
        <w:spacing w:after="160" w:before="320"/>
      </w:pPr>
      <w:r>
        <w:t xml:space="preserve">3. Event &amp; Ground-Reality Data</w:t>
      </w:r>
    </w:p>
    <w:p>
      <w:pPr>
        <w:spacing w:after="160"/>
        <w:jc w:val="left"/>
      </w:pPr>
      <w:r>
        <w:rPr>
          <w:sz w:val="22"/>
          <w:szCs w:val="22"/>
        </w:rPr>
        <w:t xml:space="preserve">Owner: Shirin S Hegde</w:t>
      </w:r>
    </w:p>
    <w:p>
      <w:pPr>
        <w:spacing w:after="160"/>
        <w:jc w:val="left"/>
      </w:pPr>
      <w:r>
        <w:rPr>
          <w:sz w:val="22"/>
          <w:szCs w:val="22"/>
        </w:rPr>
        <w:t xml:space="preserve">Sources: ACLED, GDELT, ICEWS, Uppsala Conflict Data Program (UCDP)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date, YYYY-MM-DD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</w:t>
            </w:r>
          </w:p>
        </w:tc>
        <w:tc>
          <w:tcPr>
            <w:tcW w:type="dxa" w:w="6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Standardized region/country name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Event_Type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protest / riot / violence / military clash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Actors</w:t>
            </w:r>
          </w:p>
        </w:tc>
        <w:tc>
          <w:tcPr>
            <w:tcW w:type="dxa" w:w="6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Parties involved in the event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Fatalities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Reported fatality count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Intensity_Score</w:t>
            </w:r>
          </w:p>
        </w:tc>
        <w:tc>
          <w:tcPr>
            <w:tcW w:type="dxa" w:w="6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Normalized event severity indicator</w:t>
            </w:r>
          </w:p>
        </w:tc>
      </w:tr>
    </w:tbl>
    <w:p>
      <w:pPr>
        <w:spacing w:after="160"/>
        <w:jc w:val="left"/>
      </w:pPr>
      <w:r>
        <w:rPr>
          <w:sz w:val="22"/>
          <w:szCs w:val="22"/>
        </w:rPr>
        <w:t xml:space="preserve">Goal: track event frequency, retaliation timing, and escalation acceleration. Output format: Date | Region | Event_Type | Actors | Fatalities | Intensity_Score</w:t>
      </w:r>
    </w:p>
    <w:p>
      <w:pPr>
        <w:spacing w:after="160"/>
        <w:jc w:val="left"/>
      </w:pPr>
      <w:r>
        <w:rPr>
          <w:sz w:val="22"/>
          <w:szCs w:val="22"/>
        </w:rPr>
        <w:t xml:space="preserve">Licensing: ACLED requires an academic-use registration; attribution is mandatory in any published output. GDELT and ICEWS are public-domain/open data with attribution requested.</w:t>
      </w:r>
    </w:p>
    <w:p>
      <w:pPr>
        <w:pStyle w:val="Heading1"/>
        <w:spacing w:after="160" w:before="320"/>
      </w:pPr>
      <w:r>
        <w:t xml:space="preserve">4. Media &amp; Narrative Data</w:t>
      </w:r>
    </w:p>
    <w:p>
      <w:pPr>
        <w:spacing w:after="160"/>
        <w:jc w:val="left"/>
      </w:pPr>
      <w:r>
        <w:rPr>
          <w:sz w:val="22"/>
          <w:szCs w:val="22"/>
        </w:rPr>
        <w:t xml:space="preserve">Owner: Sreshta Karthikeyan</w:t>
      </w:r>
    </w:p>
    <w:p>
      <w:pPr>
        <w:spacing w:after="160"/>
        <w:jc w:val="left"/>
      </w:pPr>
      <w:r>
        <w:rPr>
          <w:sz w:val="22"/>
          <w:szCs w:val="22"/>
        </w:rPr>
        <w:t xml:space="preserve">Sources: GDELT (News Tone), NewsAPI, public Twitter/X posts (text only)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Publication date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</w:t>
            </w:r>
          </w:p>
        </w:tc>
        <w:tc>
          <w:tcPr>
            <w:tcW w:type="dxa" w:w="6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 mentioned in the article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Headline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Article headline text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Publisher name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Tone_Score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GDELT tone score, where available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Threat_Flag</w:t>
            </w:r>
          </w:p>
        </w:tc>
        <w:tc>
          <w:tcPr>
            <w:tcW w:type="dxa" w:w="6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 flag for hostile/threat language presence</w:t>
            </w:r>
          </w:p>
        </w:tc>
      </w:tr>
    </w:tbl>
    <w:p>
      <w:pPr>
        <w:spacing w:after="160"/>
        <w:jc w:val="left"/>
      </w:pPr>
      <w:r>
        <w:rPr>
          <w:sz w:val="22"/>
          <w:szCs w:val="22"/>
        </w:rPr>
        <w:t xml:space="preserve">Goal: detect sentiment volatility and narrative shifts before physical conflict. Output format: Date | Region | Source | Headline | Tone_Score | Threat_Flag</w:t>
      </w:r>
    </w:p>
    <w:p>
      <w:pPr>
        <w:spacing w:after="160"/>
        <w:jc w:val="left"/>
      </w:pPr>
      <w:r>
        <w:rPr>
          <w:sz w:val="22"/>
          <w:szCs w:val="22"/>
        </w:rPr>
        <w:t xml:space="preserve">Licensing: NewsAPI free tier is for development/non-commercial use; GDELT is public domain. Social posts are collected as text only, with no personal identifiers retained (see Ethical &amp; Bias Considerations, Section 3).</w:t>
      </w:r>
    </w:p>
    <w:p>
      <w:pPr>
        <w:pStyle w:val="Heading1"/>
        <w:spacing w:after="160" w:before="320"/>
      </w:pPr>
      <w:r>
        <w:t xml:space="preserve">5. Economic Stress Data</w:t>
      </w:r>
    </w:p>
    <w:p>
      <w:pPr>
        <w:spacing w:after="160"/>
        <w:jc w:val="left"/>
      </w:pPr>
      <w:r>
        <w:rPr>
          <w:sz w:val="22"/>
          <w:szCs w:val="22"/>
        </w:rPr>
        <w:t xml:space="preserve">Owner: Tanya Deep</w:t>
      </w:r>
    </w:p>
    <w:p>
      <w:pPr>
        <w:spacing w:after="160"/>
        <w:jc w:val="left"/>
      </w:pPr>
      <w:r>
        <w:rPr>
          <w:sz w:val="22"/>
          <w:szCs w:val="22"/>
        </w:rPr>
        <w:t xml:space="preserve">Sources: World Bank, International Monetary Fund (IMF)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Quarter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Reporting quarter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Country</w:t>
            </w:r>
          </w:p>
        </w:tc>
        <w:tc>
          <w:tcPr>
            <w:tcW w:type="dxa" w:w="6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Country name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Inflation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Inflation rate (%)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GDP_Growth</w:t>
            </w:r>
          </w:p>
        </w:tc>
        <w:tc>
          <w:tcPr>
            <w:tcW w:type="dxa" w:w="6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GDP growth rate (%)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Unemployment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Unemployment rate (%)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Sanction_Flag</w:t>
            </w:r>
          </w:p>
        </w:tc>
        <w:tc>
          <w:tcPr>
            <w:tcW w:type="dxa" w:w="6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Yes/No — active sanctions on the country</w:t>
            </w:r>
          </w:p>
        </w:tc>
      </w:tr>
    </w:tbl>
    <w:p>
      <w:pPr>
        <w:spacing w:after="160"/>
        <w:jc w:val="left"/>
      </w:pPr>
      <w:r>
        <w:rPr>
          <w:sz w:val="22"/>
          <w:szCs w:val="22"/>
        </w:rPr>
        <w:t xml:space="preserve">Goal: track economic stress gradients that increase instability risk. Output format: Quarter | Country | Inflation | GDP_Growth | Unemployment | Sanction_Flag</w:t>
      </w:r>
    </w:p>
    <w:p>
      <w:pPr>
        <w:spacing w:after="160"/>
        <w:jc w:val="left"/>
      </w:pPr>
      <w:r>
        <w:rPr>
          <w:sz w:val="22"/>
          <w:szCs w:val="22"/>
        </w:rPr>
        <w:t xml:space="preserve">Licensing: World Bank and IMF data are released under open-data licenses (CC-BY 4.0) permitting reuse with attribution.</w:t>
      </w:r>
    </w:p>
    <w:p>
      <w:pPr>
        <w:pStyle w:val="Heading1"/>
        <w:spacing w:after="160" w:before="320"/>
      </w:pPr>
      <w:r>
        <w:t xml:space="preserve">6. Military &amp; Diplomatic Signals Data</w:t>
      </w:r>
    </w:p>
    <w:p>
      <w:pPr>
        <w:spacing w:after="160"/>
        <w:jc w:val="left"/>
      </w:pPr>
      <w:r>
        <w:rPr>
          <w:sz w:val="22"/>
          <w:szCs w:val="22"/>
        </w:rPr>
        <w:t xml:space="preserve">Original owner: Thrisha H M (contribution retained); ongoing maintenance distributed across Shirin, Sreshta, and Tanya.</w:t>
      </w:r>
    </w:p>
    <w:p>
      <w:pPr>
        <w:spacing w:after="160"/>
        <w:jc w:val="left"/>
      </w:pPr>
      <w:r>
        <w:rPr>
          <w:sz w:val="22"/>
          <w:szCs w:val="22"/>
        </w:rPr>
        <w:t xml:space="preserve">Sources: defense budget reports, military exercise announcements, UN voting records, diplomatic visit logs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date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Country</w:t>
            </w:r>
          </w:p>
        </w:tc>
        <w:tc>
          <w:tcPr>
            <w:tcW w:type="dxa" w:w="6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Country name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Military_Activity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Exercise / deployment description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Budget_Change</w:t>
            </w:r>
          </w:p>
        </w:tc>
        <w:tc>
          <w:tcPr>
            <w:tcW w:type="dxa" w:w="6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Defense budget change (%)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Diplomatic_Count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 of diplomatic interactions in period</w:t>
            </w:r>
          </w:p>
        </w:tc>
      </w:tr>
    </w:tbl>
    <w:p>
      <w:pPr>
        <w:spacing w:after="160"/>
        <w:jc w:val="left"/>
      </w:pPr>
      <w:r>
        <w:rPr>
          <w:sz w:val="22"/>
          <w:szCs w:val="22"/>
        </w:rPr>
        <w:t xml:space="preserve">Goal: identify pre-mobilization signals and diplomatic silence periods. Output format: Date | Country | Military_Activity | Budget_Change | Diplomatic_Count</w:t>
      </w:r>
    </w:p>
    <w:p>
      <w:pPr>
        <w:spacing w:after="160"/>
        <w:jc w:val="left"/>
      </w:pPr>
      <w:r>
        <w:rPr>
          <w:sz w:val="22"/>
          <w:szCs w:val="22"/>
        </w:rPr>
        <w:t xml:space="preserve">Licensing: public government and UN records; all sources are open-access with citation requirements.</w:t>
      </w:r>
    </w:p>
    <w:p>
      <w:pPr>
        <w:pStyle w:val="Heading1"/>
        <w:spacing w:after="160" w:before="320"/>
      </w:pPr>
      <w:r>
        <w:t xml:space="preserve">7. Preprocessing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Ingest raw CSV/API responses into staging tables per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Standardize region/country naming against the canonical regions lookup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Deduplicate on (source, date, region, event/article identifier).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Assign Region_Key to every record for cross-source linkage.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Load cleaned records into the corresponding fact table (news_articles, conflict_events, economic_indicators, or military_signals).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Flag and quarantine records with missing critical fields (date, region) rather than silently dropping them, for later review.</w:t>
      </w:r>
    </w:p>
    <w:p>
      <w:pPr>
        <w:pStyle w:val="Heading1"/>
        <w:spacing w:after="160" w:before="320"/>
      </w:pPr>
      <w:r>
        <w:t xml:space="preserve">8. Data Quality Checks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future-dated records accepted at ingestion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Region names validated against the canonical lookup before Region_Key assignment.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Sentiment/tone scores range-checked against expected bounds; out-of-range values flagged for review.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Weekly manual spot-check of a sample of ingested records against source pages.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ARES – Dataset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2026-07-11T18:49:50.546Z</dcterms:created>
  <dcterms:modified xsi:type="dcterms:W3CDTF">2026-07-11T18:49:50.546Z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