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b/>
          <w:bCs/>
          <w:sz w:val="26"/>
          <w:szCs w:val="26"/>
        </w:rPr>
        <w:t xml:space="preserve">BMS INSTITUTE OF TECHNOLOGY AND MANAGEMENT</w:t>
      </w:r>
    </w:p>
    <w:p>
      <w:pPr>
        <w:spacing w:after="20"/>
        <w:jc w:val="center"/>
      </w:pPr>
      <w:r>
        <w:rPr>
          <w:sz w:val="20"/>
          <w:szCs w:val="20"/>
        </w:rPr>
        <w:t xml:space="preserve">Autonomous Institute under VTU, Belagavi, Karnataka – 590 018</w:t>
      </w:r>
    </w:p>
    <w:p>
      <w:pPr>
        <w:spacing w:after="600"/>
        <w:jc w:val="center"/>
      </w:pPr>
      <w:r>
        <w:rPr>
          <w:sz w:val="20"/>
          <w:szCs w:val="20"/>
        </w:rPr>
        <w:t xml:space="preserve">Yelahanka, Bengaluru, Karnataka – 560 119</w:t>
      </w:r>
    </w:p>
    <w:p>
      <w:pPr>
        <w:spacing w:after="800"/>
        <w:jc w:val="center"/>
      </w:pPr>
      <w:r>
        <w:rPr>
          <w:b/>
          <w:bCs/>
          <w:sz w:val="22"/>
          <w:szCs w:val="22"/>
        </w:rPr>
        <w:t xml:space="preserve">DEPARTMENT OF INFORMATION SCIENCE AND ENGINEERING</w:t>
      </w:r>
    </w:p>
    <w:p>
      <w:pPr>
        <w:spacing w:after="120"/>
        <w:jc w:val="center"/>
      </w:pPr>
      <w:r>
        <w:rPr>
          <w:i/>
          <w:iCs/>
          <w:sz w:val="22"/>
          <w:szCs w:val="22"/>
        </w:rPr>
        <w:t xml:space="preserve">Ethical &amp; Bias Considerations</w:t>
      </w:r>
    </w:p>
    <w:p>
      <w:pPr>
        <w:spacing w:after="120"/>
        <w:jc w:val="center"/>
      </w:pPr>
      <w:r>
        <w:rPr>
          <w:b/>
          <w:bCs/>
          <w:color w:val="1F3864"/>
          <w:sz w:val="34"/>
          <w:szCs w:val="34"/>
        </w:rPr>
        <w:t xml:space="preserve">Ethical &amp; Bias Considerations</w:t>
      </w:r>
    </w:p>
    <w:p>
      <w:pPr>
        <w:spacing w:after="40"/>
        <w:jc w:val="center"/>
      </w:pPr>
      <w:r>
        <w:rPr>
          <w:sz w:val="20"/>
          <w:szCs w:val="20"/>
        </w:rPr>
        <w:t xml:space="preserve">Project: ARES – Conflict Escalation Early-Warning System</w:t>
      </w:r>
    </w:p>
    <w:p>
      <w:pPr>
        <w:spacing w:after="600"/>
        <w:jc w:val="center"/>
      </w:pPr>
      <w:r>
        <w:rPr>
          <w:sz w:val="20"/>
          <w:szCs w:val="20"/>
        </w:rPr>
        <w:t xml:space="preserve">Major Project – Information Science and Engineering (2022 Scheme)</w:t>
      </w:r>
    </w:p>
    <w:p>
      <w:pPr>
        <w:spacing w:after="120"/>
        <w:jc w:val="center"/>
      </w:pPr>
      <w:r>
        <w:rPr>
          <w:b/>
          <w:bCs/>
          <w:sz w:val="20"/>
          <w:szCs w:val="20"/>
        </w:rPr>
        <w:t xml:space="preserve">Prepared by</w:t>
      </w:r>
    </w:p>
    <w:p>
      <w:pPr>
        <w:spacing w:after="40"/>
        <w:jc w:val="center"/>
      </w:pPr>
      <w:r>
        <w:rPr>
          <w:sz w:val="20"/>
          <w:szCs w:val="20"/>
        </w:rPr>
        <w:t xml:space="preserve">Ms. Shirin S Hegde   1BY23IS198  —  Data Engineering &amp; Integration Lead</w:t>
      </w:r>
    </w:p>
    <w:p>
      <w:pPr>
        <w:spacing w:after="40"/>
        <w:jc w:val="center"/>
      </w:pPr>
      <w:r>
        <w:rPr>
          <w:sz w:val="20"/>
          <w:szCs w:val="20"/>
        </w:rPr>
        <w:t xml:space="preserve">Ms. Sreshta Karthikeyan   1BY23IS215  —  AI/ML Model Developer</w:t>
      </w:r>
    </w:p>
    <w:p>
      <w:pPr>
        <w:spacing w:after="40"/>
        <w:jc w:val="center"/>
      </w:pPr>
      <w:r>
        <w:rPr>
          <w:sz w:val="20"/>
          <w:szCs w:val="20"/>
        </w:rPr>
        <w:t xml:space="preserve">Ms. Tanya Deep   1BY23IS231  —  System Development &amp; Visualization Lead</w:t>
      </w:r>
    </w:p>
    <w:p>
      <w:pPr>
        <w:spacing w:after="400"/>
      </w:pPr>
      <w:r>
        <w:rPr>
          <w:sz w:val="20"/>
          <w:szCs w:val="20"/>
        </w:rPr>
        <w:t xml:space="preserve"/>
      </w:r>
    </w:p>
    <w:p>
      <w:pPr>
        <w:spacing w:after="80"/>
        <w:jc w:val="center"/>
      </w:pPr>
      <w:r>
        <w:rPr>
          <w:sz w:val="20"/>
          <w:szCs w:val="20"/>
        </w:rPr>
        <w:t xml:space="preserve">Under the Guidance of</w:t>
      </w:r>
    </w:p>
    <w:p>
      <w:pPr>
        <w:spacing w:after="600"/>
        <w:jc w:val="center"/>
      </w:pPr>
      <w:r>
        <w:rPr>
          <w:b/>
          <w:bCs/>
          <w:sz w:val="20"/>
          <w:szCs w:val="20"/>
        </w:rPr>
        <w:t xml:space="preserve">Prof. Sneha Sureddy, Assistant Professor, Dept. of ISE</w:t>
      </w:r>
    </w:p>
    <w:p>
      <w:pPr>
        <w:spacing w:after="200"/>
        <w:jc w:val="center"/>
      </w:pPr>
      <w:r>
        <w:rPr>
          <w:sz w:val="20"/>
          <w:szCs w:val="20"/>
        </w:rPr>
        <w:t xml:space="preserve">February 2026</w:t>
      </w:r>
    </w:p>
    <w:p>
      <w:r>
        <w:br w:type="page"/>
      </w:r>
    </w:p>
    <w:p>
      <w:pPr>
        <w:pStyle w:val="Heading1"/>
        <w:spacing w:after="160" w:before="320"/>
      </w:pPr>
      <w:r>
        <w:t xml:space="preserve">1. Purpose</w:t>
      </w:r>
    </w:p>
    <w:p>
      <w:pPr>
        <w:spacing w:after="160"/>
        <w:jc w:val="left"/>
      </w:pPr>
      <w:r>
        <w:rPr>
          <w:sz w:val="22"/>
          <w:szCs w:val="22"/>
        </w:rPr>
        <w:t xml:space="preserve">Conflict-prediction systems carry real risk of harm if misused, biased, or over-trusted. This document defines the ethical constraints and bias-mitigation requirements binding on ARES's design, which are treated as non-functional requirements alongside those in the SRS.</w:t>
      </w:r>
    </w:p>
    <w:p>
      <w:pPr>
        <w:pStyle w:val="Heading1"/>
        <w:spacing w:after="160" w:before="320"/>
      </w:pPr>
      <w:r>
        <w:t xml:space="preserve">2. Decision-Support, Not Autonomous Action</w:t>
      </w:r>
    </w:p>
    <w:p>
      <w:pPr>
        <w:spacing w:after="160"/>
        <w:jc w:val="left"/>
      </w:pPr>
      <w:r>
        <w:rPr>
          <w:sz w:val="22"/>
          <w:szCs w:val="22"/>
        </w:rPr>
        <w:t xml:space="preserve">ARES is strictly a decision-support system. It does not automate any real-world intervention, and no output should be interpreted or presented as a directive to act. A human analyst is required to verify any alert before it informs a real decision. This constraint exists specifically because automated models can misinterpret non-Western cultural or political rhetoric as more aggressive than intended, given that most available NLP models are trained predominantly on Western-sourced text.</w:t>
      </w:r>
    </w:p>
    <w:p>
      <w:pPr>
        <w:pStyle w:val="Heading1"/>
        <w:spacing w:after="160" w:before="320"/>
      </w:pPr>
      <w:r>
        <w:t xml:space="preserve">3. Data Privacy</w:t>
      </w:r>
    </w:p>
    <w:p>
      <w:pPr>
        <w:pStyle w:val="ListParagraph"/>
        <w:numPr>
          <w:ilvl w:val="0"/>
          <w:numId w:val="1"/>
        </w:numPr>
        <w:spacing w:after="80"/>
      </w:pPr>
      <w:r>
        <w:rPr>
          <w:sz w:val="22"/>
          <w:szCs w:val="22"/>
        </w:rPr>
        <w:t xml:space="preserve">Social/news text data is processed for aggregate sentiment only; individual usernames, handles, or personal identifiers are not retained.</w:t>
      </w:r>
    </w:p>
    <w:p>
      <w:pPr>
        <w:pStyle w:val="ListParagraph"/>
        <w:numPr>
          <w:ilvl w:val="0"/>
          <w:numId w:val="1"/>
        </w:numPr>
        <w:spacing w:after="80"/>
      </w:pPr>
      <w:r>
        <w:rPr>
          <w:sz w:val="22"/>
          <w:szCs w:val="22"/>
        </w:rPr>
        <w:t xml:space="preserve">Any personally identifiable information incidentally captured is anonymized/hashed before storage.</w:t>
      </w:r>
    </w:p>
    <w:p>
      <w:pPr>
        <w:pStyle w:val="ListParagraph"/>
        <w:numPr>
          <w:ilvl w:val="0"/>
          <w:numId w:val="1"/>
        </w:numPr>
        <w:spacing w:after="80"/>
      </w:pPr>
      <w:r>
        <w:rPr>
          <w:sz w:val="22"/>
          <w:szCs w:val="22"/>
        </w:rPr>
        <w:t xml:space="preserve">Only publicly available, open-source data is used — no scraping of private accounts, and no classified or leaked material of any kind.</w:t>
      </w:r>
    </w:p>
    <w:p>
      <w:pPr>
        <w:pStyle w:val="ListParagraph"/>
        <w:numPr>
          <w:ilvl w:val="0"/>
          <w:numId w:val="1"/>
        </w:numPr>
        <w:spacing w:after="80"/>
      </w:pPr>
      <w:r>
        <w:rPr>
          <w:sz w:val="22"/>
          <w:szCs w:val="22"/>
        </w:rPr>
        <w:t xml:space="preserve">Data handling is designed in line with the spirit of data-protection principles such as purpose limitation and data minimization.</w:t>
      </w:r>
    </w:p>
    <w:p>
      <w:pPr>
        <w:pStyle w:val="Heading1"/>
        <w:spacing w:after="160" w:before="320"/>
      </w:pPr>
      <w:r>
        <w:t xml:space="preserve">4. Source Bias &amp; Media Reliability</w:t>
      </w:r>
    </w:p>
    <w:p>
      <w:pPr>
        <w:spacing w:after="160"/>
        <w:jc w:val="left"/>
      </w:pPr>
      <w:r>
        <w:rPr>
          <w:sz w:val="22"/>
          <w:szCs w:val="22"/>
        </w:rPr>
        <w:t xml:space="preserve">Not all news sources are equally reliable, and state-affiliated media can be used to intentionally shift narrative tone (e.g., publishing a wave of "peace" coverage while other signals point toward escalation). ARES mitigates this by weighting sources by credibility tier rather than treating all news equally, and by flagging a "Narrative Divergence" condition when independently sourced and state-affiliated coverage diverge sharply, instead of silently averaging them into a lower risk score.</w:t>
      </w:r>
    </w:p>
    <w:p>
      <w:pPr>
        <w:pStyle w:val="Heading1"/>
        <w:spacing w:after="160" w:before="320"/>
      </w:pPr>
      <w:r>
        <w:t xml:space="preserve">5. Confirmation Bias / One-Directional Alerting</w:t>
      </w:r>
    </w:p>
    <w:p>
      <w:pPr>
        <w:spacing w:after="160"/>
        <w:jc w:val="left"/>
      </w:pPr>
      <w:r>
        <w:rPr>
          <w:sz w:val="22"/>
          <w:szCs w:val="22"/>
        </w:rPr>
        <w:t xml:space="preserve">A system that only ever looks for escalation signals will eventually see escalation everywhere. To counter this, de-escalation markers (trade agreements, diplomatic summits, ceasefires) are included as explicit negative-weight inputs, so the risk score is able to move down as well as up, and the model is evaluated on its ability to correctly de-escalate a score, not only raise one.</w:t>
      </w:r>
    </w:p>
    <w:p>
      <w:pPr>
        <w:pStyle w:val="Heading1"/>
        <w:spacing w:after="160" w:before="320"/>
      </w:pPr>
      <w:r>
        <w:t xml:space="preserve">6. Dataset Bias</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2400"/>
        <w:gridCol w:w="3600"/>
        <w:gridCol w:w="3000"/>
      </w:tblGrid>
      <w:tr>
        <w:trPr>
          <w:tblHeader/>
        </w:trPr>
        <w:tc>
          <w:tcPr>
            <w:tcW w:type="dxa" w:w="2400"/>
            <w:shd w:fill="1F3864" w:color="auto" w:val="clear"/>
            <w:tcMar>
              <w:top w:type="dxa" w:w="80"/>
              <w:left w:type="dxa" w:w="100"/>
              <w:bottom w:type="dxa" w:w="80"/>
              <w:right w:type="dxa" w:w="100"/>
            </w:tcMar>
            <w:vAlign w:val="center"/>
          </w:tcPr>
          <w:p>
            <w:pPr>
              <w:jc w:val="left"/>
            </w:pPr>
            <w:r>
              <w:rPr>
                <w:b/>
                <w:bCs/>
                <w:color w:val="FFFFFF"/>
                <w:sz w:val="20"/>
                <w:szCs w:val="20"/>
              </w:rPr>
              <w:t xml:space="preserve">Bias Source</w:t>
            </w:r>
          </w:p>
        </w:tc>
        <w:tc>
          <w:tcPr>
            <w:tcW w:type="dxa" w:w="3600"/>
            <w:shd w:fill="1F3864" w:color="auto" w:val="clear"/>
            <w:tcMar>
              <w:top w:type="dxa" w:w="80"/>
              <w:left w:type="dxa" w:w="100"/>
              <w:bottom w:type="dxa" w:w="80"/>
              <w:right w:type="dxa" w:w="100"/>
            </w:tcMar>
            <w:vAlign w:val="center"/>
          </w:tcPr>
          <w:p>
            <w:pPr>
              <w:jc w:val="left"/>
            </w:pPr>
            <w:r>
              <w:rPr>
                <w:b/>
                <w:bCs/>
                <w:color w:val="FFFFFF"/>
                <w:sz w:val="20"/>
                <w:szCs w:val="20"/>
              </w:rPr>
              <w:t xml:space="preserve">Risk</w:t>
            </w:r>
          </w:p>
        </w:tc>
        <w:tc>
          <w:tcPr>
            <w:tcW w:type="dxa" w:w="3000"/>
            <w:shd w:fill="1F3864" w:color="auto" w:val="clear"/>
            <w:tcMar>
              <w:top w:type="dxa" w:w="80"/>
              <w:left w:type="dxa" w:w="100"/>
              <w:bottom w:type="dxa" w:w="80"/>
              <w:right w:type="dxa" w:w="100"/>
            </w:tcMar>
            <w:vAlign w:val="center"/>
          </w:tcPr>
          <w:p>
            <w:pPr>
              <w:jc w:val="left"/>
            </w:pPr>
            <w:r>
              <w:rPr>
                <w:b/>
                <w:bCs/>
                <w:color w:val="FFFFFF"/>
                <w:sz w:val="20"/>
                <w:szCs w:val="20"/>
              </w:rPr>
              <w:t xml:space="preserve">Mitigation</w:t>
            </w:r>
          </w:p>
        </w:tc>
      </w:tr>
      <w:tr>
        <w:tc>
          <w:tcPr>
            <w:tcW w:type="dxa" w:w="2400"/>
            <w:tcMar>
              <w:top w:type="dxa" w:w="80"/>
              <w:left w:type="dxa" w:w="100"/>
              <w:bottom w:type="dxa" w:w="80"/>
              <w:right w:type="dxa" w:w="100"/>
            </w:tcMar>
            <w:vAlign w:val="center"/>
          </w:tcPr>
          <w:p>
            <w:pPr>
              <w:jc w:val="left"/>
            </w:pPr>
            <w:r>
              <w:rPr>
                <w:b w:val="false"/>
                <w:bCs w:val="false"/>
                <w:color w:val="000000"/>
                <w:sz w:val="20"/>
                <w:szCs w:val="20"/>
              </w:rPr>
              <w:t xml:space="preserve">Media coverage bias</w:t>
            </w:r>
          </w:p>
        </w:tc>
        <w:tc>
          <w:tcPr>
            <w:tcW w:type="dxa" w:w="3600"/>
            <w:tcMar>
              <w:top w:type="dxa" w:w="80"/>
              <w:left w:type="dxa" w:w="100"/>
              <w:bottom w:type="dxa" w:w="80"/>
              <w:right w:type="dxa" w:w="100"/>
            </w:tcMar>
            <w:vAlign w:val="center"/>
          </w:tcPr>
          <w:p>
            <w:pPr>
              <w:jc w:val="left"/>
            </w:pPr>
            <w:r>
              <w:rPr>
                <w:b w:val="false"/>
                <w:bCs w:val="false"/>
                <w:color w:val="000000"/>
                <w:sz w:val="20"/>
                <w:szCs w:val="20"/>
              </w:rPr>
              <w:t xml:space="preserve">Regions with less international press get systematically lower signal density, understating risk</w:t>
            </w:r>
          </w:p>
        </w:tc>
        <w:tc>
          <w:tcPr>
            <w:tcW w:type="dxa" w:w="3000"/>
            <w:tcMar>
              <w:top w:type="dxa" w:w="80"/>
              <w:left w:type="dxa" w:w="100"/>
              <w:bottom w:type="dxa" w:w="80"/>
              <w:right w:type="dxa" w:w="100"/>
            </w:tcMar>
            <w:vAlign w:val="center"/>
          </w:tcPr>
          <w:p>
            <w:pPr>
              <w:jc w:val="left"/>
            </w:pPr>
            <w:r>
              <w:rPr>
                <w:b w:val="false"/>
                <w:bCs w:val="false"/>
                <w:color w:val="000000"/>
                <w:sz w:val="20"/>
                <w:szCs w:val="20"/>
              </w:rPr>
              <w:t xml:space="preserve">Document coverage-density limitations per region; do not present low-coverage regions with false confidence</w:t>
            </w:r>
          </w:p>
        </w:tc>
      </w:tr>
      <w:tr>
        <w:tc>
          <w:tcPr>
            <w:tcW w:type="dxa" w:w="2400"/>
            <w:shd w:fill="F2F6FA" w:color="auto" w:val="clear"/>
            <w:tcMar>
              <w:top w:type="dxa" w:w="80"/>
              <w:left w:type="dxa" w:w="100"/>
              <w:bottom w:type="dxa" w:w="80"/>
              <w:right w:type="dxa" w:w="100"/>
            </w:tcMar>
            <w:vAlign w:val="center"/>
          </w:tcPr>
          <w:p>
            <w:pPr>
              <w:jc w:val="left"/>
            </w:pPr>
            <w:r>
              <w:rPr>
                <w:b w:val="false"/>
                <w:bCs w:val="false"/>
                <w:color w:val="000000"/>
                <w:sz w:val="20"/>
                <w:szCs w:val="20"/>
              </w:rPr>
              <w:t xml:space="preserve">NLP model training bias</w:t>
            </w:r>
          </w:p>
        </w:tc>
        <w:tc>
          <w:tcPr>
            <w:tcW w:type="dxa" w:w="3600"/>
            <w:shd w:fill="F2F6FA" w:color="auto" w:val="clear"/>
            <w:tcMar>
              <w:top w:type="dxa" w:w="80"/>
              <w:left w:type="dxa" w:w="100"/>
              <w:bottom w:type="dxa" w:w="80"/>
              <w:right w:type="dxa" w:w="100"/>
            </w:tcMar>
            <w:vAlign w:val="center"/>
          </w:tcPr>
          <w:p>
            <w:pPr>
              <w:jc w:val="left"/>
            </w:pPr>
            <w:r>
              <w:rPr>
                <w:b w:val="false"/>
                <w:bCs w:val="false"/>
                <w:color w:val="000000"/>
                <w:sz w:val="20"/>
                <w:szCs w:val="20"/>
              </w:rPr>
              <w:t xml:space="preserve">Sentiment models trained on Western corpora may misclassify non-Western political language</w:t>
            </w:r>
          </w:p>
        </w:tc>
        <w:tc>
          <w:tcPr>
            <w:tcW w:type="dxa" w:w="3000"/>
            <w:shd w:fill="F2F6FA" w:color="auto" w:val="clear"/>
            <w:tcMar>
              <w:top w:type="dxa" w:w="80"/>
              <w:left w:type="dxa" w:w="100"/>
              <w:bottom w:type="dxa" w:w="80"/>
              <w:right w:type="dxa" w:w="100"/>
            </w:tcMar>
            <w:vAlign w:val="center"/>
          </w:tcPr>
          <w:p>
            <w:pPr>
              <w:jc w:val="left"/>
            </w:pPr>
            <w:r>
              <w:rPr>
                <w:b w:val="false"/>
                <w:bCs w:val="false"/>
                <w:color w:val="000000"/>
                <w:sz w:val="20"/>
                <w:szCs w:val="20"/>
              </w:rPr>
              <w:t xml:space="preserve">Treat NLP sentiment as one weighted signal, never a sole determinant; flag known limitation in outputs</w:t>
            </w:r>
          </w:p>
        </w:tc>
      </w:tr>
      <w:tr>
        <w:tc>
          <w:tcPr>
            <w:tcW w:type="dxa" w:w="2400"/>
            <w:tcMar>
              <w:top w:type="dxa" w:w="80"/>
              <w:left w:type="dxa" w:w="100"/>
              <w:bottom w:type="dxa" w:w="80"/>
              <w:right w:type="dxa" w:w="100"/>
            </w:tcMar>
            <w:vAlign w:val="center"/>
          </w:tcPr>
          <w:p>
            <w:pPr>
              <w:jc w:val="left"/>
            </w:pPr>
            <w:r>
              <w:rPr>
                <w:b w:val="false"/>
                <w:bCs w:val="false"/>
                <w:color w:val="000000"/>
                <w:sz w:val="20"/>
                <w:szCs w:val="20"/>
              </w:rPr>
              <w:t xml:space="preserve">Historical data bias</w:t>
            </w:r>
          </w:p>
        </w:tc>
        <w:tc>
          <w:tcPr>
            <w:tcW w:type="dxa" w:w="3600"/>
            <w:tcMar>
              <w:top w:type="dxa" w:w="80"/>
              <w:left w:type="dxa" w:w="100"/>
              <w:bottom w:type="dxa" w:w="80"/>
              <w:right w:type="dxa" w:w="100"/>
            </w:tcMar>
            <w:vAlign w:val="center"/>
          </w:tcPr>
          <w:p>
            <w:pPr>
              <w:jc w:val="left"/>
            </w:pPr>
            <w:r>
              <w:rPr>
                <w:b w:val="false"/>
                <w:bCs w:val="false"/>
                <w:color w:val="000000"/>
                <w:sz w:val="20"/>
                <w:szCs w:val="20"/>
              </w:rPr>
              <w:t xml:space="preserve">Past conflict datasets may under-report certain regions or conflict types</w:t>
            </w:r>
          </w:p>
        </w:tc>
        <w:tc>
          <w:tcPr>
            <w:tcW w:type="dxa" w:w="3000"/>
            <w:tcMar>
              <w:top w:type="dxa" w:w="80"/>
              <w:left w:type="dxa" w:w="100"/>
              <w:bottom w:type="dxa" w:w="80"/>
              <w:right w:type="dxa" w:w="100"/>
            </w:tcMar>
            <w:vAlign w:val="center"/>
          </w:tcPr>
          <w:p>
            <w:pPr>
              <w:jc w:val="left"/>
            </w:pPr>
            <w:r>
              <w:rPr>
                <w:b w:val="false"/>
                <w:bCs w:val="false"/>
                <w:color w:val="000000"/>
                <w:sz w:val="20"/>
                <w:szCs w:val="20"/>
              </w:rPr>
              <w:t xml:space="preserve">Cross-check with multiple independent datasets (ACLED + GDELT + UCDP) rather than relying on one</w:t>
            </w:r>
          </w:p>
        </w:tc>
      </w:tr>
    </w:tbl>
    <w:p>
      <w:pPr>
        <w:pStyle w:val="Heading1"/>
        <w:spacing w:after="160" w:before="320"/>
      </w:pPr>
      <w:r>
        <w:t xml:space="preserve">7. Transparency &amp; Academic Integrity</w:t>
      </w:r>
    </w:p>
    <w:p>
      <w:pPr>
        <w:pStyle w:val="ListParagraph"/>
        <w:numPr>
          <w:ilvl w:val="0"/>
          <w:numId w:val="1"/>
        </w:numPr>
        <w:spacing w:after="80"/>
      </w:pPr>
      <w:r>
        <w:rPr>
          <w:sz w:val="22"/>
          <w:szCs w:val="22"/>
        </w:rPr>
        <w:t xml:space="preserve">Every alert must be traceable to its underlying source article or event record (no unexplained scores).</w:t>
      </w:r>
    </w:p>
    <w:p>
      <w:pPr>
        <w:pStyle w:val="ListParagraph"/>
        <w:numPr>
          <w:ilvl w:val="0"/>
          <w:numId w:val="1"/>
        </w:numPr>
        <w:spacing w:after="80"/>
      </w:pPr>
      <w:r>
        <w:rPr>
          <w:sz w:val="22"/>
          <w:szCs w:val="22"/>
        </w:rPr>
        <w:t xml:space="preserve">All datasets and prior research used are properly cited (see Literature Survey and References).</w:t>
      </w:r>
    </w:p>
    <w:p>
      <w:pPr>
        <w:pStyle w:val="ListParagraph"/>
        <w:numPr>
          <w:ilvl w:val="0"/>
          <w:numId w:val="1"/>
        </w:numPr>
        <w:spacing w:after="80"/>
      </w:pPr>
      <w:r>
        <w:rPr>
          <w:sz w:val="22"/>
          <w:szCs w:val="22"/>
        </w:rPr>
        <w:t xml:space="preserve">The system's known limitations are documented and disclosed, not hidden, in project reporting and demos.</w:t>
      </w:r>
    </w:p>
    <w:p>
      <w:pPr>
        <w:pStyle w:val="Heading1"/>
        <w:spacing w:after="160" w:before="320"/>
      </w:pPr>
      <w:r>
        <w:t xml:space="preserve">8. Misuse Prevention</w:t>
      </w:r>
    </w:p>
    <w:p>
      <w:pPr>
        <w:spacing w:after="160"/>
        <w:jc w:val="left"/>
      </w:pPr>
      <w:r>
        <w:rPr>
          <w:sz w:val="22"/>
          <w:szCs w:val="22"/>
        </w:rPr>
        <w:t xml:space="preserve">ARES is designed strictly for conflict prevention, risk assessment, and peacebuilding research/education purposes. It includes no functionality for targeting, surveillance of individuals, or automated escalation of response, and is not intended for operational military or intelligence deployment in its current academic form.</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ARES – Ethical &amp; Bias Considerations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2026-07-11T18:49:50.988Z</dcterms:created>
  <dcterms:modified xsi:type="dcterms:W3CDTF">2026-07-11T18:49:50.989Z</dcterms:modified>
</cp:coreProperties>
</file>

<file path=docProps/custom.xml><?xml version="1.0" encoding="utf-8"?>
<Properties xmlns="http://schemas.openxmlformats.org/officeDocument/2006/custom-properties" xmlns:vt="http://schemas.openxmlformats.org/officeDocument/2006/docPropsVTypes"/>
</file>