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sz w:val="26"/>
          <w:szCs w:val="26"/>
        </w:rPr>
        <w:t xml:space="preserve">BMS INSTITUTE OF TECHNOLOGY AND MANAGEMENT</w:t>
      </w:r>
    </w:p>
    <w:p>
      <w:pPr>
        <w:spacing w:after="20"/>
        <w:jc w:val="center"/>
      </w:pPr>
      <w:r>
        <w:rPr>
          <w:sz w:val="20"/>
          <w:szCs w:val="20"/>
        </w:rPr>
        <w:t xml:space="preserve">Autonomous Institute under VTU, Belagavi, Karnataka – 590 018</w:t>
      </w:r>
    </w:p>
    <w:p>
      <w:pPr>
        <w:spacing w:after="600"/>
        <w:jc w:val="center"/>
      </w:pPr>
      <w:r>
        <w:rPr>
          <w:sz w:val="20"/>
          <w:szCs w:val="20"/>
        </w:rPr>
        <w:t xml:space="preserve">Yelahanka, Bengaluru, Karnataka – 560 119</w:t>
      </w:r>
    </w:p>
    <w:p>
      <w:pPr>
        <w:spacing w:after="800"/>
        <w:jc w:val="center"/>
      </w:pPr>
      <w:r>
        <w:rPr>
          <w:b/>
          <w:bCs/>
          <w:sz w:val="22"/>
          <w:szCs w:val="22"/>
        </w:rPr>
        <w:t xml:space="preserve">DEPARTMENT OF INFORMATION SCIENCE AND ENGINEERING</w:t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 xml:space="preserve">Feasibility Study</w:t>
      </w:r>
    </w:p>
    <w:p>
      <w:pPr>
        <w:spacing w:after="120"/>
        <w:jc w:val="center"/>
      </w:pPr>
      <w:r>
        <w:rPr>
          <w:b/>
          <w:bCs/>
          <w:color w:val="1F3864"/>
          <w:sz w:val="34"/>
          <w:szCs w:val="34"/>
        </w:rPr>
        <w:t xml:space="preserve">Feasibility Study</w:t>
      </w:r>
    </w:p>
    <w:p>
      <w:pPr>
        <w:spacing w:after="400"/>
        <w:jc w:val="center"/>
      </w:pPr>
      <w:r>
        <w:rPr>
          <w:sz w:val="22"/>
          <w:szCs w:val="22"/>
        </w:rPr>
        <w:t xml:space="preserve">Technical, Economic, and Operational Feasibility</w:t>
      </w:r>
    </w:p>
    <w:p>
      <w:pPr>
        <w:spacing w:after="40"/>
        <w:jc w:val="center"/>
      </w:pPr>
      <w:r>
        <w:rPr>
          <w:sz w:val="20"/>
          <w:szCs w:val="20"/>
        </w:rPr>
        <w:t xml:space="preserve">Project: ARES – Conflict Escalation Early-Warning System</w:t>
      </w:r>
    </w:p>
    <w:p>
      <w:pPr>
        <w:spacing w:after="600"/>
        <w:jc w:val="center"/>
      </w:pPr>
      <w:r>
        <w:rPr>
          <w:sz w:val="20"/>
          <w:szCs w:val="20"/>
        </w:rPr>
        <w:t xml:space="preserve">Major Project – Information Science and Engineering (2022 Scheme)</w:t>
      </w:r>
    </w:p>
    <w:p>
      <w:pPr>
        <w:spacing w:after="120"/>
        <w:jc w:val="center"/>
      </w:pPr>
      <w:r>
        <w:rPr>
          <w:b/>
          <w:bCs/>
          <w:sz w:val="20"/>
          <w:szCs w:val="20"/>
        </w:rPr>
        <w:t xml:space="preserve">Prepared by</w:t>
      </w:r>
    </w:p>
    <w:p>
      <w:pPr>
        <w:spacing w:after="40"/>
        <w:jc w:val="center"/>
      </w:pPr>
      <w:r>
        <w:rPr>
          <w:sz w:val="20"/>
          <w:szCs w:val="20"/>
        </w:rPr>
        <w:t xml:space="preserve">Ms. Shirin S Hegde   1BY23IS198  —  Data Engineering &amp; Integration Lead</w:t>
      </w:r>
    </w:p>
    <w:p>
      <w:pPr>
        <w:spacing w:after="40"/>
        <w:jc w:val="center"/>
      </w:pPr>
      <w:r>
        <w:rPr>
          <w:sz w:val="20"/>
          <w:szCs w:val="20"/>
        </w:rPr>
        <w:t xml:space="preserve">Ms. Sreshta Karthikeyan   1BY23IS215  —  AI/ML Model Developer</w:t>
      </w:r>
    </w:p>
    <w:p>
      <w:pPr>
        <w:spacing w:after="40"/>
        <w:jc w:val="center"/>
      </w:pPr>
      <w:r>
        <w:rPr>
          <w:sz w:val="20"/>
          <w:szCs w:val="20"/>
        </w:rPr>
        <w:t xml:space="preserve">Ms. Tanya Deep   1BY23IS231  —  System Development &amp; Visualization Lead</w:t>
      </w:r>
    </w:p>
    <w:p>
      <w:pPr>
        <w:spacing w:after="400"/>
      </w:pPr>
      <w:r>
        <w:rPr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sz w:val="20"/>
          <w:szCs w:val="20"/>
        </w:rPr>
        <w:t xml:space="preserve">Under the Guidance of</w:t>
      </w:r>
    </w:p>
    <w:p>
      <w:pPr>
        <w:spacing w:after="600"/>
        <w:jc w:val="center"/>
      </w:pPr>
      <w:r>
        <w:rPr>
          <w:b/>
          <w:bCs/>
          <w:sz w:val="20"/>
          <w:szCs w:val="20"/>
        </w:rPr>
        <w:t xml:space="preserve">Prof. Sneha Sureddy, Assistant Professor, Dept. of ISE</w:t>
      </w:r>
    </w:p>
    <w:p>
      <w:pPr>
        <w:spacing w:after="200"/>
        <w:jc w:val="center"/>
      </w:pPr>
      <w:r>
        <w:rPr>
          <w:sz w:val="20"/>
          <w:szCs w:val="20"/>
        </w:rPr>
        <w:t xml:space="preserve">February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Purpose</w:t>
      </w:r>
    </w:p>
    <w:p>
      <w:pPr>
        <w:spacing w:after="160"/>
        <w:jc w:val="left"/>
      </w:pPr>
      <w:r>
        <w:rPr>
          <w:sz w:val="22"/>
          <w:szCs w:val="22"/>
        </w:rPr>
        <w:t xml:space="preserve">This study assesses whether ARES can realistically be built, operated, and validated within a two-semester academic timeline (VI–VII semester) by a three-member student team, using only free/open-source tools and data.</w:t>
      </w:r>
    </w:p>
    <w:p>
      <w:pPr>
        <w:pStyle w:val="Heading1"/>
        <w:spacing w:after="160" w:before="320"/>
      </w:pPr>
      <w:r>
        <w:t xml:space="preserve">2. Technical Feasibility</w:t>
      </w:r>
    </w:p>
    <w:p>
      <w:pPr>
        <w:spacing w:after="160"/>
        <w:jc w:val="left"/>
      </w:pPr>
      <w:r>
        <w:rPr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sz w:val="22"/>
          <w:szCs w:val="22"/>
        </w:rPr>
        <w:t xml:space="preserve">All required datasets are free and accessible under academic/public terms: ACLED (academic registry), GDELT (Google BigQuery free tier, 1TB/month query allowance), NewsAPI (free tier), World Bank and IMF open data APIs. No proprietary or classified data is required.</w:t>
      </w:r>
    </w:p>
    <w:p>
      <w:pPr>
        <w:spacing w:after="160"/>
        <w:jc w:val="left"/>
      </w:pPr>
      <w:r>
        <w:rPr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sz w:val="22"/>
          <w:szCs w:val="22"/>
        </w:rPr>
        <w:t xml:space="preserve">The proposed stack — Python asyncio for ingestion, PostgreSQL/PostGIS for storage, scikit-learn/transformer-based NLP for modeling, and a lightweight dashboard — is mature, well-documented, and widely used in production systems, reducing implementation risk.</w:t>
      </w:r>
    </w:p>
    <w:p>
      <w:pPr>
        <w:spacing w:after="160"/>
        <w:jc w:val="left"/>
      </w:pPr>
      <w:r>
        <w:rPr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sz w:val="22"/>
          <w:szCs w:val="22"/>
        </w:rPr>
        <w:t xml:space="preserve">The three-member split (data engineering, ML modeling, frontend/visualization) maps directly to the required skill areas. All required libraries (pandas, scikit-learn, HuggingFace transformers, PostGIS, asyncio) are standard, well-supported Python tooling with extensive documentation.</w:t>
      </w:r>
    </w:p>
    <w:p>
      <w:pPr>
        <w:spacing w:after="160"/>
        <w:jc w:val="left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3600"/>
        <w:gridCol w:w="1800"/>
        <w:gridCol w:w="3600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rate limits / quota exhaustion (GDELT BigQuery, NewsAPI)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Cache raw responses in DB; query only stale/missing windows; batch daily rather than real-time</w:t>
            </w:r>
          </w:p>
        </w:tc>
      </w:tr>
      <w:tr>
        <w:tc>
          <w:tcPr>
            <w:tcW w:type="dxa" w:w="3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Sparse or noisy data for low-coverage regions</w:t>
            </w:r>
          </w:p>
        </w:tc>
        <w:tc>
          <w:tcPr>
            <w:tcW w:type="dxa" w:w="1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Scope MVP validation to high-coverage regions; document coverage limits explicitly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NLP model bias (Western-trained sentiment models)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Documented as a known limitation; human-in-the-loop verification required before any action</w:t>
            </w:r>
          </w:p>
        </w:tc>
      </w:tr>
      <w:tr>
        <w:tc>
          <w:tcPr>
            <w:tcW w:type="dxa" w:w="3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member attrition affecting delivery</w:t>
            </w:r>
          </w:p>
        </w:tc>
        <w:tc>
          <w:tcPr>
            <w:tcW w:type="dxa" w:w="1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3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Cross-document ownership so any module can be picked up by another member; shared data assets</w:t>
            </w:r>
          </w:p>
        </w:tc>
      </w:tr>
    </w:tbl>
    <w:p>
      <w:pPr>
        <w:pStyle w:val="Heading1"/>
        <w:spacing w:after="160" w:before="320"/>
      </w:pPr>
      <w:r>
        <w:t xml:space="preserve">3. Economic Feasibility</w:t>
      </w:r>
    </w:p>
    <w:p>
      <w:pPr>
        <w:spacing w:after="160"/>
        <w:jc w:val="left"/>
      </w:pPr>
      <w:r>
        <w:rPr>
          <w:sz w:val="22"/>
          <w:szCs w:val="22"/>
        </w:rPr>
        <w:t xml:space="preserve">The project is designed to be capital-expenditure free for the academic prototype: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2800"/>
        <w:gridCol w:w="4200"/>
        <w:gridCol w:w="2000"/>
      </w:tblGrid>
      <w:tr>
        <w:trPr>
          <w:tblHeader/>
        </w:trPr>
        <w:tc>
          <w:tcPr>
            <w:tcW w:type="dxa" w:w="2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4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Tool/Strategy</w:t>
            </w:r>
          </w:p>
        </w:tc>
        <w:tc>
          <w:tcPr>
            <w:tcW w:type="dxa" w:w="2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Personal laptop (8GB+ RAM) / free-tier Colab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4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+ PostGIS (self-hosted, open-source)</w:t>
            </w:r>
          </w:p>
        </w:tc>
        <w:tc>
          <w:tcPr>
            <w:tcW w:type="dxa" w:w="20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Datasets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ACLED academic license, GDELT, World Bank/IMF open data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ML/NLP libraries</w:t>
            </w:r>
          </w:p>
        </w:tc>
        <w:tc>
          <w:tcPr>
            <w:tcW w:type="dxa" w:w="4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scikit-learn, HuggingFace transformers (open-source)</w:t>
            </w:r>
          </w:p>
        </w:tc>
        <w:tc>
          <w:tcPr>
            <w:tcW w:type="dxa" w:w="20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 cloud scale-up (future)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AWS/GCP VM for training or hosting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₹3,000–10,000/month</w:t>
            </w:r>
          </w:p>
        </w:tc>
      </w:tr>
    </w:tbl>
    <w:p>
      <w:pPr>
        <w:spacing w:after="160"/>
        <w:jc w:val="left"/>
      </w:pPr>
      <w:r>
        <w:rPr>
          <w:sz w:val="22"/>
          <w:szCs w:val="22"/>
        </w:rPr>
        <w:t xml:space="preserve">No cost is required to complete the academic MVP; cloud costs only apply if the team later chooses to deploy a live, publicly hosted version beyond the project submission.</w:t>
      </w:r>
    </w:p>
    <w:p>
      <w:pPr>
        <w:pStyle w:val="Heading1"/>
        <w:spacing w:after="160" w:before="320"/>
      </w:pPr>
      <w:r>
        <w:t xml:space="preserve">4. Operational Feasibility</w:t>
      </w:r>
    </w:p>
    <w:p>
      <w:pPr>
        <w:spacing w:after="160"/>
        <w:jc w:val="left"/>
      </w:pPr>
      <w:r>
        <w:rPr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sz w:val="22"/>
          <w:szCs w:val="22"/>
        </w:rPr>
        <w:t xml:space="preserve">The scope (ingestion → feature engineering → ML risk scoring → dashboard → backtest validation) is achievable within the VI–VII semester project timeline when phased as detailed in the Gantt Chart/Timeline document.</w:t>
      </w:r>
    </w:p>
    <w:p>
      <w:pPr>
        <w:spacing w:after="160"/>
        <w:jc w:val="left"/>
      </w:pPr>
      <w:r>
        <w:rPr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sz w:val="22"/>
          <w:szCs w:val="22"/>
        </w:rPr>
        <w:t xml:space="preserve">Because the team cannot wait for a real conflict to test the system, ARES will be validated via historical backtesting: ingesting data restricted to a known past date range, withholding "future" data, and checking whether the model would have flagged the escalation ahead of its peak — the standard scientific method for predictive/forecasting models.</w:t>
      </w:r>
    </w:p>
    <w:p>
      <w:pPr>
        <w:spacing w:after="160"/>
        <w:jc w:val="left"/>
      </w:pPr>
      <w:r>
        <w:rPr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sz w:val="22"/>
          <w:szCs w:val="22"/>
        </w:rPr>
        <w:t xml:space="preserve">The modular monolith architecture (ingestion / storage / features / model / api / frontend as separate internal modules within one deployable unit) keeps operational complexity low, avoiding the DevOps overhead of a microservices approach that would be disproportionate for a student project.</w:t>
      </w:r>
    </w:p>
    <w:p>
      <w:pPr>
        <w:pStyle w:val="Heading1"/>
        <w:spacing w:after="160" w:before="320"/>
      </w:pPr>
      <w:r>
        <w:t xml:space="preserve">5. Feasibility Conclusion</w:t>
      </w:r>
    </w:p>
    <w:p>
      <w:pPr>
        <w:spacing w:after="160"/>
        <w:jc w:val="left"/>
      </w:pPr>
      <w:r>
        <w:rPr>
          <w:sz w:val="22"/>
          <w:szCs w:val="22"/>
        </w:rPr>
        <w:t xml:space="preserve">ARES is technically achievable with mature, free, open-source tools; economically viable at zero cost for the academic deliverable; and operationally realistic within the available team size and timeline, provided scope is disciplined via the MoSCoW prioritization defined in the Project Requirements documentation. The study identifies no blocking risks — only manageable ones with documented mitigations.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ARES – Feasibility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2026-07-11T18:49:48.272Z</dcterms:created>
  <dcterms:modified xsi:type="dcterms:W3CDTF">2026-07-11T18:49:48.272Z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