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sz w:val="26"/>
          <w:szCs w:val="26"/>
        </w:rPr>
        <w:t xml:space="preserve">BMS INSTITUTE OF TECHNOLOGY AND MANAGEMENT</w:t>
      </w:r>
    </w:p>
    <w:p>
      <w:pPr>
        <w:spacing w:after="20"/>
        <w:jc w:val="center"/>
      </w:pPr>
      <w:r>
        <w:rPr>
          <w:sz w:val="20"/>
          <w:szCs w:val="20"/>
        </w:rPr>
        <w:t xml:space="preserve">Autonomous Institute under VTU, Belagavi, Karnataka – 590 018</w:t>
      </w:r>
    </w:p>
    <w:p>
      <w:pPr>
        <w:spacing w:after="600"/>
        <w:jc w:val="center"/>
      </w:pPr>
      <w:r>
        <w:rPr>
          <w:sz w:val="20"/>
          <w:szCs w:val="20"/>
        </w:rPr>
        <w:t xml:space="preserve">Yelahanka, Bengaluru, Karnataka – 560 119</w:t>
      </w:r>
    </w:p>
    <w:p>
      <w:pPr>
        <w:spacing w:after="800"/>
        <w:jc w:val="center"/>
      </w:pPr>
      <w:r>
        <w:rPr>
          <w:b/>
          <w:bCs/>
          <w:sz w:val="22"/>
          <w:szCs w:val="22"/>
        </w:rPr>
        <w:t xml:space="preserve">DEPARTMENT OF INFORMATION SCIENCE AND ENGINEERING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Model Selection &amp; Evaluation Plan</w:t>
      </w:r>
    </w:p>
    <w:p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 xml:space="preserve">Model Selection &amp; Evaluation Plan</w:t>
      </w:r>
    </w:p>
    <w:p>
      <w:pPr>
        <w:spacing w:after="40"/>
        <w:jc w:val="center"/>
      </w:pPr>
      <w:r>
        <w:rPr>
          <w:sz w:val="20"/>
          <w:szCs w:val="20"/>
        </w:rPr>
        <w:t xml:space="preserve">Project: ARES – Conflict Escalation Early-Warning System</w:t>
      </w:r>
    </w:p>
    <w:p>
      <w:pPr>
        <w:spacing w:after="600"/>
        <w:jc w:val="center"/>
      </w:pPr>
      <w:r>
        <w:rPr>
          <w:sz w:val="20"/>
          <w:szCs w:val="20"/>
        </w:rPr>
        <w:t xml:space="preserve">Major Project – Information Science and Engineering (2022 Scheme)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Prepared by</w:t>
      </w:r>
    </w:p>
    <w:p>
      <w:pPr>
        <w:spacing w:after="40"/>
        <w:jc w:val="center"/>
      </w:pPr>
      <w:r>
        <w:rPr>
          <w:sz w:val="20"/>
          <w:szCs w:val="20"/>
        </w:rPr>
        <w:t xml:space="preserve">Ms. Shirin S Hegde   1BY23IS198  —  Data Engineering &amp; Integration Lead</w:t>
      </w:r>
    </w:p>
    <w:p>
      <w:pPr>
        <w:spacing w:after="40"/>
        <w:jc w:val="center"/>
      </w:pPr>
      <w:r>
        <w:rPr>
          <w:sz w:val="20"/>
          <w:szCs w:val="20"/>
        </w:rPr>
        <w:t xml:space="preserve">Ms. Sreshta Karthikeyan   1BY23IS215  —  AI/ML Model Developer</w:t>
      </w:r>
    </w:p>
    <w:p>
      <w:pPr>
        <w:spacing w:after="40"/>
        <w:jc w:val="center"/>
      </w:pPr>
      <w:r>
        <w:rPr>
          <w:sz w:val="20"/>
          <w:szCs w:val="20"/>
        </w:rPr>
        <w:t xml:space="preserve">Ms. Tanya Deep   1BY23IS231  —  System Development &amp; Visualization Lead</w:t>
      </w:r>
    </w:p>
    <w:p>
      <w:pPr>
        <w:spacing w:after="400"/>
      </w:pPr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sz w:val="20"/>
          <w:szCs w:val="20"/>
        </w:rPr>
        <w:t xml:space="preserve">Under the Guidance of</w:t>
      </w:r>
    </w:p>
    <w:p>
      <w:pPr>
        <w:spacing w:after="600"/>
        <w:jc w:val="center"/>
      </w:pPr>
      <w:r>
        <w:rPr>
          <w:b/>
          <w:bCs/>
          <w:sz w:val="20"/>
          <w:szCs w:val="20"/>
        </w:rPr>
        <w:t xml:space="preserve">Prof. Sneha Sureddy, Assistant Professor, Dept. of ISE</w:t>
      </w:r>
    </w:p>
    <w:p>
      <w:pPr>
        <w:spacing w:after="200"/>
        <w:jc w:val="center"/>
      </w:pPr>
      <w:r>
        <w:rPr>
          <w:sz w:val="20"/>
          <w:szCs w:val="20"/>
        </w:rPr>
        <w:t xml:space="preserve">February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Modeling Objective</w:t>
      </w:r>
    </w:p>
    <w:p>
      <w:pPr>
        <w:spacing w:after="160"/>
        <w:jc w:val="left"/>
      </w:pPr>
      <w:r>
        <w:rPr>
          <w:sz w:val="22"/>
          <w:szCs w:val="22"/>
        </w:rPr>
        <w:t xml:space="preserve">Produce an interpretable 0–100 escalation risk score per region per time window, prioritizing recall on high-impact escalation events (avoiding missed warnings) while keeping the false-positive rate low enough to remain analytically trustworthy.</w:t>
      </w:r>
    </w:p>
    <w:p>
      <w:pPr>
        <w:pStyle w:val="Heading1"/>
        <w:spacing w:after="160" w:before="320"/>
      </w:pPr>
      <w:r>
        <w:t xml:space="preserve">2. Candidate Models by Sub-task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400"/>
        <w:gridCol w:w="2800"/>
        <w:gridCol w:w="38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Sub-task</w:t>
            </w:r>
          </w:p>
        </w:tc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Candidate Algorithm(s)</w:t>
            </w:r>
          </w:p>
        </w:tc>
        <w:tc>
          <w:tcPr>
            <w:tcW w:type="dxa" w:w="3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 classification (Green/Amber/Red)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Forest, Gradient Boosted Trees (XGBoost/LightGBM)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Handles heterogeneous tabular features well; provides feature importance for explainability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 sentiment / narrative analysis</w:t>
            </w:r>
          </w:p>
        </w:tc>
        <w:tc>
          <w:tcPr>
            <w:tcW w:type="dxa" w:w="2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DistilBERT (fine-tuned) / RoBERTa sentiment head</w:t>
            </w:r>
          </w:p>
        </w:tc>
        <w:tc>
          <w:tcPr>
            <w:tcW w:type="dxa" w:w="3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Pretrained transformer, CPU-feasible, strong baseline performance on English news text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Short-term time-series forecasting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Rolling statistical baselines (moving average, z-score) escalating to LSTM/Temporal Fusion Transformer if time permits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Statistical baseline first for interpretability; deep model only if it demonstrably improves lead time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Anomaly detection (unusual chatter/activity volume)</w:t>
            </w:r>
          </w:p>
        </w:tc>
        <w:tc>
          <w:tcPr>
            <w:tcW w:type="dxa" w:w="2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3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Effective for flagging statistically unusual spikes without needing labeled anomalies</w:t>
            </w:r>
          </w:p>
        </w:tc>
      </w:tr>
    </w:tbl>
    <w:p>
      <w:pPr>
        <w:spacing w:after="160"/>
        <w:jc w:val="left"/>
      </w:pPr>
      <w:r>
        <w:rPr>
          <w:sz w:val="22"/>
          <w:szCs w:val="22"/>
        </w:rPr>
        <w:t xml:space="preserve">Model selection is layered: simple, explainable models are used first (Random Forest, statistical baselines); more complex models (LSTM/GNN/Temporal Fusion Transformer) are only adopted if backtesting shows a clear, reproducible improvement over the baseline — in line with the project's zero-budget, explainability-first constraints.</w:t>
      </w:r>
    </w:p>
    <w:p>
      <w:pPr>
        <w:pStyle w:val="Heading1"/>
        <w:spacing w:after="160" w:before="320"/>
      </w:pPr>
      <w:r>
        <w:t xml:space="preserve">3. Feature Set (Model Inputs)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event_acceleration — rolling 7-day event-count delta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sentiment_volatility — standard deviation of news tone shift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protest_ratio — protest-to-violence event ratio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economic stress gradient — QoQ inflation, GDP growth, unemployment delta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diplomatic silence duration — days since last recorded diplomatic interaction</w:t>
      </w:r>
    </w:p>
    <w:p>
      <w:pPr>
        <w:pStyle w:val="Heading1"/>
        <w:spacing w:after="160" w:before="320"/>
      </w:pPr>
      <w:r>
        <w:t xml:space="preserve">4. Training &amp; Validation Strategy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The model is validated by ingesting data restricted to a known historical date range, withholding subsequent data, and checking whether the model would have flagged escalation ahead of the documented peak — the standard method for validating forecasting systems where waiting for a live event is not feasible.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A time-based split is used (not random shuffling), since escalation forecasting is inherently temporal: training data precedes test data chronologically to avoid information leakage from future events into training.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Escalation events are rare relative to stable periods. Class weighting or resampling (e.g., SMOTE for the tabular classifier) is applied so the model is not biased toward always predicting "stable."</w:t>
      </w:r>
    </w:p>
    <w:p>
      <w:pPr>
        <w:pStyle w:val="Heading1"/>
        <w:spacing w:after="160" w:before="320"/>
      </w:pPr>
      <w:r>
        <w:t xml:space="preserve">5. Evaluation Metrics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200"/>
        <w:gridCol w:w="4400"/>
        <w:gridCol w:w="24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Recall (High-Impact class)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Fraction of true high-impact escalation events correctly flagged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75%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Precision (High-Risk alerts)</w:t>
            </w:r>
          </w:p>
        </w:tc>
        <w:tc>
          <w:tcPr>
            <w:tcW w:type="dxa" w:w="4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Fraction of high-risk alerts that were genuinely escalating</w:t>
            </w:r>
          </w:p>
        </w:tc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80% where feasible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Fraction of stable periods incorrectly flagged high-risk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15%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 Time</w:t>
            </w:r>
          </w:p>
        </w:tc>
        <w:tc>
          <w:tcPr>
            <w:tcW w:type="dxa" w:w="4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between first high-risk flag and the actual escalation peak</w:t>
            </w:r>
          </w:p>
        </w:tc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Positive and as large as possible; report per test case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Importance Stability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Consistency of top contributing features across retraining runs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Reported qualitatively for explainability review</w:t>
            </w:r>
          </w:p>
        </w:tc>
      </w:tr>
    </w:tbl>
    <w:p>
      <w:pPr>
        <w:spacing w:after="160"/>
        <w:jc w:val="left"/>
      </w:pPr>
      <w:r>
        <w:rPr>
          <w:sz w:val="22"/>
          <w:szCs w:val="22"/>
        </w:rPr>
        <w:t xml:space="preserve">Accuracy alone is not used as a headline metric, since the rare-event nature of escalation makes accuracy misleadingly high for a model that always predicts "stable."</w:t>
      </w:r>
    </w:p>
    <w:p>
      <w:pPr>
        <w:pStyle w:val="Heading1"/>
        <w:spacing w:after="160" w:before="320"/>
      </w:pPr>
      <w:r>
        <w:t xml:space="preserve">6. Explainability Requirements</w:t>
      </w:r>
    </w:p>
    <w:p>
      <w:pPr>
        <w:spacing w:after="160"/>
        <w:jc w:val="left"/>
      </w:pPr>
      <w:r>
        <w:rPr>
          <w:sz w:val="22"/>
          <w:szCs w:val="22"/>
        </w:rPr>
        <w:t xml:space="preserve">Every prediction must be accompanied by a ranked breakdown of which features contributed most to the score (e.g., via feature importances for tree-based models, or attention/saliency summaries for the NLP component), and a link to the underlying source records, per NFR-03 in the SRS.</w:t>
      </w:r>
    </w:p>
    <w:p>
      <w:pPr>
        <w:pStyle w:val="Heading1"/>
        <w:spacing w:after="160" w:before="320"/>
      </w:pPr>
      <w:r>
        <w:t xml:space="preserve">7. Model Governance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Model version, training date, and training data window are logged with every deployed model.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Retraining occurs on a scheduled cadence (e.g., monthly) or when backtesting accuracy degrades below threshold.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model changes are reviewed against the Ethical &amp; Bias Considerations document before deployment.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ARES – Model Selection &amp; Evaluation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2026-07-11T18:49:50.782Z</dcterms:created>
  <dcterms:modified xsi:type="dcterms:W3CDTF">2026-07-11T18:49:50.782Z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