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sz w:val="26"/>
          <w:szCs w:val="26"/>
        </w:rPr>
        <w:t xml:space="preserve">BMS INSTITUTE OF TECHNOLOGY AND MANAGEMENT</w:t>
      </w:r>
    </w:p>
    <w:p>
      <w:pPr>
        <w:spacing w:after="20"/>
        <w:jc w:val="center"/>
      </w:pPr>
      <w:r>
        <w:rPr>
          <w:sz w:val="20"/>
          <w:szCs w:val="20"/>
        </w:rPr>
        <w:t xml:space="preserve">Autonomous Institute under VTU, Belagavi, Karnataka – 590 018</w:t>
      </w:r>
    </w:p>
    <w:p>
      <w:pPr>
        <w:spacing w:after="600"/>
        <w:jc w:val="center"/>
      </w:pPr>
      <w:r>
        <w:rPr>
          <w:sz w:val="20"/>
          <w:szCs w:val="20"/>
        </w:rPr>
        <w:t xml:space="preserve">Yelahanka, Bengaluru, Karnataka – 560 119</w:t>
      </w:r>
    </w:p>
    <w:p>
      <w:pPr>
        <w:spacing w:after="800"/>
        <w:jc w:val="center"/>
      </w:pPr>
      <w:r>
        <w:rPr>
          <w:b/>
          <w:bCs/>
          <w:sz w:val="22"/>
          <w:szCs w:val="22"/>
        </w:rPr>
        <w:t xml:space="preserve">DEPARTMENT OF INFORMATION SCIENCE AND ENGINEERING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Research Paper Prep Summary</w:t>
      </w:r>
    </w:p>
    <w:p>
      <w:pPr>
        <w:spacing w:after="120"/>
        <w:jc w:val="center"/>
      </w:pPr>
      <w:r>
        <w:rPr>
          <w:b/>
          <w:bCs/>
          <w:color w:val="1F3864"/>
          <w:sz w:val="34"/>
          <w:szCs w:val="34"/>
        </w:rPr>
        <w:t xml:space="preserve">Research Paper Prep Summary</w:t>
      </w:r>
    </w:p>
    <w:p>
      <w:pPr>
        <w:spacing w:after="400"/>
        <w:jc w:val="center"/>
      </w:pPr>
      <w:r>
        <w:rPr>
          <w:sz w:val="22"/>
          <w:szCs w:val="22"/>
        </w:rPr>
        <w:t xml:space="preserve">Consolidated from ARES Project Documentation (19 Documents)</w:t>
      </w:r>
    </w:p>
    <w:p>
      <w:pPr>
        <w:spacing w:after="40"/>
        <w:jc w:val="center"/>
      </w:pPr>
      <w:r>
        <w:rPr>
          <w:sz w:val="20"/>
          <w:szCs w:val="20"/>
        </w:rPr>
        <w:t xml:space="preserve">Project: ARES – Conflict Escalation Early-Warning System</w:t>
      </w:r>
    </w:p>
    <w:p>
      <w:pPr>
        <w:spacing w:after="600"/>
        <w:jc w:val="center"/>
      </w:pPr>
      <w:r>
        <w:rPr>
          <w:sz w:val="20"/>
          <w:szCs w:val="20"/>
        </w:rPr>
        <w:t xml:space="preserve">Major Project – Information Science and Engineering (2022 Scheme)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Prepared by</w:t>
      </w:r>
    </w:p>
    <w:p>
      <w:pPr>
        <w:spacing w:after="40"/>
        <w:jc w:val="center"/>
      </w:pPr>
      <w:r>
        <w:rPr>
          <w:sz w:val="20"/>
          <w:szCs w:val="20"/>
        </w:rPr>
        <w:t xml:space="preserve">Ms. Shirin S Hegde   1BY23IS198  —  Data Engineering &amp; Integration Lead</w:t>
      </w:r>
    </w:p>
    <w:p>
      <w:pPr>
        <w:spacing w:after="40"/>
        <w:jc w:val="center"/>
      </w:pPr>
      <w:r>
        <w:rPr>
          <w:sz w:val="20"/>
          <w:szCs w:val="20"/>
        </w:rPr>
        <w:t xml:space="preserve">Ms. Sreshta Karthikeyan   1BY23IS215  —  AI/ML Model Developer</w:t>
      </w:r>
    </w:p>
    <w:p>
      <w:pPr>
        <w:spacing w:after="40"/>
        <w:jc w:val="center"/>
      </w:pPr>
      <w:r>
        <w:rPr>
          <w:sz w:val="20"/>
          <w:szCs w:val="20"/>
        </w:rPr>
        <w:t xml:space="preserve">Ms. Tanya Deep   1BY23IS231  —  System Development &amp; Visualization Lead</w:t>
      </w:r>
    </w:p>
    <w:p>
      <w:pPr>
        <w:spacing w:after="400"/>
      </w:pPr>
      <w:r>
        <w:rPr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sz w:val="20"/>
          <w:szCs w:val="20"/>
        </w:rPr>
        <w:t xml:space="preserve">Under the Guidance of</w:t>
      </w:r>
    </w:p>
    <w:p>
      <w:pPr>
        <w:spacing w:after="600"/>
        <w:jc w:val="center"/>
      </w:pPr>
      <w:r>
        <w:rPr>
          <w:b/>
          <w:bCs/>
          <w:sz w:val="20"/>
          <w:szCs w:val="20"/>
        </w:rPr>
        <w:t xml:space="preserve">Prof. Sneha Sureddy, Assistant Professor, Dept. of ISE</w:t>
      </w:r>
    </w:p>
    <w:p>
      <w:pPr>
        <w:spacing w:after="200"/>
        <w:jc w:val="center"/>
      </w:pPr>
      <w:r>
        <w:rPr>
          <w:sz w:val="20"/>
          <w:szCs w:val="20"/>
        </w:rPr>
        <w:t xml:space="preserve">February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How to Use This Document</w:t>
      </w:r>
    </w:p>
    <w:p>
      <w:pPr>
        <w:spacing w:after="160"/>
        <w:jc w:val="left"/>
      </w:pPr>
      <w:r>
        <w:rPr>
          <w:sz w:val="22"/>
          <w:szCs w:val="22"/>
        </w:rPr>
        <w:t xml:space="preserve">This summary maps your project documentation onto a standard IEEE-style paper structure (Abstract → Introduction → Related Work → Methodology → System Design → Evaluation → Ethics → Results → Conclusion → References). Each section notes exactly which project document to pull full detail from. A quick section map is provided at the end.</w:t>
      </w:r>
    </w:p>
    <w:p>
      <w:pPr>
        <w:pStyle w:val="Heading1"/>
        <w:spacing w:after="160" w:before="320"/>
      </w:pPr>
      <w:r>
        <w:t xml:space="preserve">1. Working Title &amp; Abstract Draft</w:t>
      </w:r>
    </w:p>
    <w:p>
      <w:pPr>
        <w:spacing w:after="160"/>
        <w:jc w:val="left"/>
      </w:pPr>
      <w:r>
        <w:rPr>
          <w:sz w:val="22"/>
          <w:szCs w:val="22"/>
        </w:rPr>
        <w:t xml:space="preserve">Title: ARES: An Explainable, Multi-Source Fusion System for Conflict Escalation Early Warning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both"/>
      </w:pPr>
      <w:r>
        <w:rPr>
          <w:sz w:val="22"/>
          <w:szCs w:val="22"/>
        </w:rPr>
        <w:t xml:space="preserve">Existing conflict-monitoring systems are largely reactive, cataloguing violence after it occurs rather than forecasting the conditions that precede it. This paper presents ARES, a Conflict Escalation Early-Warning System that fuses open-source political-event data (ACLED, GDELT), news/media sentiment, macroeconomic indicators (World Bank/IMF), and diplomatic/military signals into a single, interpretable, region-level risk score. Unlike prior ensemble or graph-based forecasting systems, ARES prioritizes explainability by design: every risk score is required to carry a traceable factor breakdown and source link. The system is implemented as a modular monolith with an asynchronous ingestion pipeline, a PostgreSQL/PostGIS feature store, and a layered modeling strategy that defaults to simple, explainable models and escalates to complex ones only where backtesting shows measurable benefit.</w:t>
      </w:r>
    </w:p>
    <w:p>
      <w:pPr>
        <w:spacing w:after="160"/>
        <w:jc w:val="left"/>
      </w:pPr>
      <w:r>
        <w:rPr>
          <w:sz w:val="22"/>
          <w:szCs w:val="22"/>
        </w:rPr>
        <w:t xml:space="preserve">[Insert 1-2 sentences of quantified backtest results once Chapter 7 of the Final Project Report is complete.]</w:t>
      </w:r>
    </w:p>
    <w:p>
      <w:pPr>
        <w:spacing w:after="160"/>
        <w:jc w:val="left"/>
      </w:pPr>
      <w:r>
        <w:rPr>
          <w:sz w:val="22"/>
          <w:szCs w:val="22"/>
        </w:rPr>
        <w:t xml:space="preserve">Source: Final Project Report Ch. 1; Project Proposal §3</w:t>
      </w:r>
    </w:p>
    <w:p>
      <w:pPr>
        <w:pStyle w:val="Heading1"/>
        <w:spacing w:after="160" w:before="320"/>
      </w:pPr>
      <w:r>
        <w:t xml:space="preserve">2. Introduction / Motivation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Core motivating gap: open-source data availability has grown, but most tools remain reactive (event cataloguing) rather than predictive.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Definition of "conflict escalation" used in this work: a measurable, sustained shift across event acceleration, sentiment volatility, economic stress, or diplomatic/military signalling within a defined region/time window — a statistically elevated risk flag for human review, not a claim of certainty.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Explicit non-goal: autonomous action. ARES is decision-support only.</w:t>
      </w:r>
    </w:p>
    <w:p>
      <w:pPr>
        <w:spacing w:after="160"/>
        <w:jc w:val="left"/>
      </w:pPr>
      <w:r>
        <w:rPr>
          <w:sz w:val="22"/>
          <w:szCs w:val="22"/>
        </w:rPr>
        <w:t xml:space="preserve">Source: Problem Statement Document §2-3; SRS §1.2</w:t>
      </w:r>
    </w:p>
    <w:p>
      <w:pPr>
        <w:pStyle w:val="Heading1"/>
        <w:spacing w:after="160" w:before="320"/>
      </w:pPr>
      <w:r>
        <w:t xml:space="preserve">3. Related Work</w:t>
      </w:r>
    </w:p>
    <w:p>
      <w:pPr>
        <w:spacing w:after="160"/>
        <w:jc w:val="left"/>
      </w:pPr>
      <w:r>
        <w:rPr>
          <w:sz w:val="22"/>
          <w:szCs w:val="22"/>
        </w:rPr>
        <w:t xml:space="preserve">Organize into 5 clusters — this mirrors Chapter 2 of your Final Project Report, which already has full prose and citations: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Works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Relevance to ARES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Conflict forecasting &amp; political violence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Hegre et al. (ViEWS, 2019, x2); Brandt et al. (2016); Ward et al. (2013); Muchlinski et al. (2016); Raleigh et al. (ACLED, 2010)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Establishes ensemble ML for country/grid-level forecasting; Muchlinski's RF-vs-logistic comparison informs class-imbalance handling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 learning &amp; graph-based event forecasting</w:t>
            </w:r>
          </w:p>
        </w:tc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 et al.; Trivedi et al.; Rossi et al. (TGN, 2020); Pareja et al. (EvolveGCN, 2020); Campedelli et al.; Hossain et al.</w:t>
            </w:r>
          </w:p>
        </w:tc>
        <w:tc>
          <w:tcPr>
            <w:tcW w:type="dxa" w:w="3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Shows the field's move toward relational/graph models — positioned as future scope, not current MVP scope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Climate-conflict interaction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Mach et al. (Nature, 2019); Hsiang, Burke &amp; Miguel (Science, 2013); Burke, Hsiang &amp; Miguel (Nature, 2015)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Justifies including macroeconomic stress as a first-class feature category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Time-series forecasting methods</w:t>
            </w:r>
          </w:p>
        </w:tc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 et al. (Temporal Fusion Transformer, 2021); Zerveas et al.; Salinas et al. (DeepAR, 2020)</w:t>
            </w:r>
          </w:p>
        </w:tc>
        <w:tc>
          <w:tcPr>
            <w:tcW w:type="dxa" w:w="3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Candidate upgrade path for the time-series module if the statistical baseline underperforms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Causal &amp; interpretable ML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Schölkopf et al. (2021); Athey &amp; Imbens (2022)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Theoretical grounding for the explainability requirement (NFR-03)</w:t>
            </w:r>
          </w:p>
        </w:tc>
      </w:tr>
    </w:tbl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both"/>
      </w:pPr>
      <w:r>
        <w:rPr>
          <w:sz w:val="22"/>
          <w:szCs w:val="22"/>
        </w:rPr>
        <w:t xml:space="preserve">Most systems predict isolated conflict events rather than continuously tracking escalation trends across multiple fused data sources in near-real time; there is a lack of integrated, explainable platforms combining event, narrative, economic, and diplomatic signals with an analyst-accessible visualization layer. ARES is scoped to address both gaps.</w:t>
      </w:r>
    </w:p>
    <w:p>
      <w:pPr>
        <w:spacing w:after="160"/>
        <w:jc w:val="left"/>
      </w:pPr>
      <w:r>
        <w:rPr>
          <w:sz w:val="22"/>
          <w:szCs w:val="22"/>
        </w:rPr>
        <w:t xml:space="preserve">Comparison table (ready to drop into your paper): see Final Project Report §2.7 — positions ARES against ViEWS, ICEWS-RF models, and GDELT-attention models specifically on explainability and data-fusion breadth.</w:t>
      </w:r>
    </w:p>
    <w:p>
      <w:pPr>
        <w:spacing w:after="160"/>
        <w:jc w:val="left"/>
      </w:pPr>
      <w:r>
        <w:rPr>
          <w:sz w:val="22"/>
          <w:szCs w:val="22"/>
        </w:rPr>
        <w:t xml:space="preserve">Source: Final Project Report Ch. 2 (full prose); References list at end of same document</w:t>
      </w:r>
    </w:p>
    <w:p>
      <w:pPr>
        <w:pStyle w:val="Heading1"/>
        <w:spacing w:after="160" w:before="320"/>
      </w:pPr>
      <w:r>
        <w:t xml:space="preserve">4. Problem Formulation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Inputs: 4 data categories — event/ground-truth (ACLED/GDELT/ICEWS/UCDP), media/narrative (GDELT tone, NewsAPI), economic (World Bank/IMF), military/diplomatic (defense reports, UN records)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Linking key: all sources joined via a common Region_Key (not raw coordinates or event IDs) — a deliberate design choice for clean aggregation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Output: a 0-100 interpretable risk score per region per time window, tiered Green (0-33) / Amber (34-66) / Red (67-100)</w:t>
      </w:r>
    </w:p>
    <w:p>
      <w:pPr>
        <w:spacing w:after="160"/>
        <w:jc w:val="left"/>
      </w:pPr>
      <w:r>
        <w:rPr>
          <w:sz w:val="22"/>
          <w:szCs w:val="22"/>
        </w:rPr>
        <w:t xml:space="preserve">Source: Dataset Documentation; SRS §1.3, §3.4.6</w:t>
      </w:r>
    </w:p>
    <w:p>
      <w:pPr>
        <w:pStyle w:val="Heading1"/>
        <w:spacing w:after="160" w:before="320"/>
      </w:pPr>
      <w:r>
        <w:t xml:space="preserve">5. Methodology (Core Technical Section)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2200"/>
        <w:gridCol w:w="4200"/>
        <w:gridCol w:w="26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 Acceleration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(E_7d(t) - E_7d(t-7)) / max(E_7d(t-7), 1)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Rolling week-over-week event-count delta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Sentiment Volatility</w:t>
            </w:r>
          </w:p>
        </w:tc>
        <w:tc>
          <w:tcPr>
            <w:tcW w:type="dxa" w:w="4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stddev(tone_score) over trailing 14-day window</w:t>
            </w:r>
          </w:p>
        </w:tc>
        <w:tc>
          <w:tcPr>
            <w:tcW w:type="dxa" w:w="2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Volatility, not just mean tone — escalation often shows as polarization first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Protest-to-Violence Ratio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protests / (protests + violent_events), 30-day window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Falling ratio = protest giving way to violence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Economic Stress Gradient</w:t>
            </w:r>
          </w:p>
        </w:tc>
        <w:tc>
          <w:tcPr>
            <w:tcW w:type="dxa" w:w="4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w1·ΔInflation + w2·(-ΔGDP) + w3·ΔUnemployment + w4·SanctionFlag</w:t>
            </w:r>
          </w:p>
        </w:tc>
        <w:tc>
          <w:tcPr>
            <w:tcW w:type="dxa" w:w="2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Weights literature-informed (Mach et al. 2019; Hsiang et al. 2013), recalibrated on backtest data</w:t>
            </w:r>
          </w:p>
        </w:tc>
      </w:tr>
    </w:tbl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sz w:val="22"/>
          <w:szCs w:val="22"/>
        </w:rPr>
        <w:t xml:space="preserve">Risk_Score = 100 × sigmoid(β0 + β1·EventAccel + β2·SentimentVol + β3·(1-ProtestRatio) + β4·EconStress + β5·DiplomaticSilenceDays)</w:t>
      </w:r>
    </w:p>
    <w:p>
      <w:pPr>
        <w:spacing w:after="160"/>
        <w:jc w:val="left"/>
      </w:pPr>
      <w:r>
        <w:rPr>
          <w:sz w:val="22"/>
          <w:szCs w:val="22"/>
        </w:rPr>
        <w:t xml:space="preserve">β coefficients = fitted feature importances from the tree-based classifier; sigmoid is a display bounding transform, not the underlying model family.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sz w:val="22"/>
          <w:szCs w:val="22"/>
        </w:rPr>
        <w:t xml:space="preserve">Simple/explainable models are tried first; complexity is only added if backtesting shows measurable, reproducible improvement: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Sub-task</w:t>
            </w:r>
          </w:p>
        </w:tc>
        <w:tc>
          <w:tcPr>
            <w:tcW w:type="dxa" w:w="5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Model(s)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Escalation classification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Forest → XGBoost/LightGBM if needed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Narrative/sentiment</w:t>
            </w:r>
          </w:p>
        </w:tc>
        <w:tc>
          <w:tcPr>
            <w:tcW w:type="dxa" w:w="5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Fine-tuned DistilBERT/RoBERTa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Short-term forecasting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Statistical baseline (moving avg, z-score) → LSTM/Temporal Fusion Transformer if justified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5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Isolation Forest</w:t>
            </w:r>
          </w:p>
        </w:tc>
      </w:tr>
    </w:tbl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both"/>
      </w:pPr>
      <w:r>
        <w:rPr>
          <w:sz w:val="22"/>
          <w:szCs w:val="22"/>
        </w:rPr>
        <w:t xml:space="preserve">Historical backtesting (not live waiting for real conflict): restrict data to a known cutoff date, withhold "future" data, check whether the model would have flagged escalation ahead of the documented peak. Time-based train/test split (not random shuffle) to avoid temporal leakage.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Recall (high-impact class) ≥ 75%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False positive rate &lt; 15%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Lead time: report per case, positive = success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Accuracy explicitly NOT used as headline metric (rare-event class imbalance makes it misleading)</w:t>
      </w:r>
    </w:p>
    <w:p>
      <w:pPr>
        <w:spacing w:after="160"/>
        <w:jc w:val="left"/>
      </w:pPr>
      <w:r>
        <w:rPr>
          <w:sz w:val="22"/>
          <w:szCs w:val="22"/>
        </w:rPr>
        <w:t xml:space="preserve">Source: SRS §3.4, §3.6.1; Model Selection &amp; Evaluation Plan (full doc); Final Project Report §5.6 (pseudocode)</w:t>
      </w:r>
    </w:p>
    <w:p>
      <w:pPr>
        <w:pStyle w:val="Heading1"/>
        <w:spacing w:after="160" w:before="320"/>
      </w:pPr>
      <w:r>
        <w:t xml:space="preserve">6. System Design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Pattern: modular monolith (not microservices) — justified by team size (3) and 2-semester timeline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Modules: /ingestion → /storage → /features → /model → /api → /frontend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Database: PostgreSQL + PostGIS (chosen over MongoDB for relational joins + temporal aggregation)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Concurrency: Python asyncio/aiohttp, parallel API fetch, cron every 30-60 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Caching: hybrid — DB timestamp cache + short-TTL in-memory LRU (Redis explicitly rejected as unneeded complexity)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Model serving: in-memory at startup, hybrid inference (scheduled hourly + on-demand)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Frontend: polling every 60s (WebSockets rejected — no sub-second requirement)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Deployment: Docker Compose, 4 services (db / backend / frontend / scheduler)</w:t>
      </w:r>
    </w:p>
    <w:p>
      <w:pPr>
        <w:spacing w:after="160"/>
        <w:jc w:val="left"/>
      </w:pPr>
      <w:r>
        <w:rPr>
          <w:sz w:val="22"/>
          <w:szCs w:val="22"/>
        </w:rPr>
        <w:t xml:space="preserve">An alternatives-considered table (useful for a "Design Decisions" subsection and for viva defense) is in Final Project Report §5.5 — six decisions with what was rejected and why.</w:t>
      </w:r>
    </w:p>
    <w:p>
      <w:pPr>
        <w:spacing w:after="160"/>
        <w:jc w:val="left"/>
      </w:pPr>
      <w:r>
        <w:rPr>
          <w:sz w:val="22"/>
          <w:szCs w:val="22"/>
        </w:rPr>
        <w:t xml:space="preserve">Source: System Architecture Document (full); Final Project Report §4.4, §5.5</w:t>
      </w:r>
    </w:p>
    <w:p>
      <w:pPr>
        <w:pStyle w:val="Heading1"/>
        <w:spacing w:after="160" w:before="320"/>
      </w:pPr>
      <w:r>
        <w:t xml:space="preserve">7. Ethical Considerations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Decision-support only — no autonomous action; human verification required before any real-world use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Source-credibility weighting to counter state-media narrative manipulation ("Narrative Divergence" flagging)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De-escalation markers included as explicit negative-weight inputs to prevent one-directional/confirmation-biased alerting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Documented dataset bias risks: media coverage bias, NLP training bias, historical dataset bias — each with a stated mitigation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Privacy: no PII retention from social/news text; open-source data only, no classified/scraped-private data</w:t>
      </w:r>
    </w:p>
    <w:p>
      <w:pPr>
        <w:spacing w:after="160"/>
        <w:jc w:val="left"/>
      </w:pPr>
      <w:r>
        <w:rPr>
          <w:sz w:val="22"/>
          <w:szCs w:val="22"/>
        </w:rPr>
        <w:t xml:space="preserve">Source: Ethical &amp; Bias Considerations (full doc) — maps almost directly to a paper's "Ethical Considerations" or "Limitations &amp; Broader Impact" section</w:t>
      </w:r>
    </w:p>
    <w:p>
      <w:pPr>
        <w:pStyle w:val="Heading1"/>
        <w:spacing w:after="160" w:before="320"/>
      </w:pPr>
      <w:r>
        <w:t xml:space="preserve">8. Results (Placeholder — Fill In Once Available)</w:t>
      </w:r>
    </w:p>
    <w:p>
      <w:pPr>
        <w:spacing w:after="160"/>
        <w:jc w:val="left"/>
      </w:pPr>
      <w:r>
        <w:rPr>
          <w:sz w:val="22"/>
          <w:szCs w:val="22"/>
        </w:rPr>
        <w:t xml:space="preserve">Final Project Report Chapter 7 is intentionally left as a structured placeholder. When ready, populate: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Backtest case selection (which historical escalation event, why)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Recall / precision / FPR achieved vs. targets above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Detection lead time (days ahead of documented peak)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Dashboard screenshots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Deviations from planned design and justification</w:t>
      </w:r>
    </w:p>
    <w:p>
      <w:pPr>
        <w:spacing w:after="160"/>
        <w:jc w:val="left"/>
      </w:pPr>
      <w:r>
        <w:rPr>
          <w:sz w:val="22"/>
          <w:szCs w:val="22"/>
        </w:rPr>
        <w:t xml:space="preserve">This is also exactly the structure a paper's Results/Evaluation section needs — write it once, reuse in both places.</w:t>
      </w:r>
    </w:p>
    <w:p>
      <w:pPr>
        <w:pStyle w:val="Heading1"/>
        <w:spacing w:after="160" w:before="320"/>
      </w:pPr>
      <w:r>
        <w:t xml:space="preserve">9. Limitations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Model accuracy bounded by open-source data density — some regions systematically under-covered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NLP sentiment models trained predominantly on Western text corpora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real-time (sub-minute) capability by design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Not validated on live/ongoing conflicts yet — validation is retrospective/backtest-based only</w:t>
      </w:r>
    </w:p>
    <w:p>
      <w:pPr>
        <w:spacing w:after="160"/>
        <w:jc w:val="left"/>
      </w:pPr>
      <w:r>
        <w:rPr>
          <w:sz w:val="22"/>
          <w:szCs w:val="22"/>
        </w:rPr>
        <w:t xml:space="preserve">Source: Feasibility Study §2.4; Ethical &amp; Bias Considerations §6</w:t>
      </w:r>
    </w:p>
    <w:p>
      <w:pPr>
        <w:pStyle w:val="Heading1"/>
        <w:spacing w:after="160" w:before="320"/>
      </w:pPr>
      <w:r>
        <w:t xml:space="preserve">10. Consolidated Reference List</w:t>
      </w:r>
    </w:p>
    <w:p>
      <w:pPr>
        <w:spacing w:after="160"/>
        <w:jc w:val="both"/>
      </w:pPr>
      <w:r>
        <w:rPr>
          <w:sz w:val="22"/>
          <w:szCs w:val="22"/>
        </w:rPr>
        <w:t xml:space="preserve">The full list of 21 references is in Final Project Report → References — copy directly. Covers: ViEWS/political-violence forecasting (Hegre et al. x3), ACLED/GDELT/ICEWS data papers, graph/temporal-network methods (Ma, Trivedi, Rossi, Pareja, Campedelli, Hossain), climate-conflict (Mach, Hsiang, Burke), time-series forecasting (Lim, Zerveas, Salinas), causal ML (Schölkopf, Athey &amp; Imbens).</w:t>
      </w:r>
    </w:p>
    <w:p>
      <w:pPr>
        <w:pStyle w:val="Heading1"/>
        <w:spacing w:after="160" w:before="320"/>
      </w:pPr>
      <w:r>
        <w:t xml:space="preserve">Quick Document → Paper Section Map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Paper Section</w:t>
            </w:r>
          </w:p>
        </w:tc>
        <w:tc>
          <w:tcPr>
            <w:tcW w:type="dxa" w:w="6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Pull From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Abstract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Proposal §3</w:t>
            </w:r>
          </w:p>
        </w:tc>
      </w:tr>
      <w:tr>
        <w:tc>
          <w:tcPr>
            <w:tcW w:type="dxa" w:w="2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6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 Statement Document; Final Report Ch.1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Related Work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Report Ch.2 (+ §2.7 comparison table)</w:t>
            </w:r>
          </w:p>
        </w:tc>
      </w:tr>
      <w:tr>
        <w:tc>
          <w:tcPr>
            <w:tcW w:type="dxa" w:w="2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SRS §3.4-3.6; Model Selection &amp; Evaluation Plan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Architecture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Architecture Document; Final Report §4.4</w:t>
            </w:r>
          </w:p>
        </w:tc>
      </w:tr>
      <w:tr>
        <w:tc>
          <w:tcPr>
            <w:tcW w:type="dxa" w:w="2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Evaluation Plan/Metrics</w:t>
            </w:r>
          </w:p>
        </w:tc>
        <w:tc>
          <w:tcPr>
            <w:tcW w:type="dxa" w:w="6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Selection &amp; Evaluation Plan §5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Ethics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Ethical &amp; Bias Considerations (full doc)</w:t>
            </w:r>
          </w:p>
        </w:tc>
      </w:tr>
      <w:tr>
        <w:tc>
          <w:tcPr>
            <w:tcW w:type="dxa" w:w="2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Results</w:t>
            </w:r>
          </w:p>
        </w:tc>
        <w:tc>
          <w:tcPr>
            <w:tcW w:type="dxa" w:w="6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Report Ch.7 (fill in after backtesting)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Conclusion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Report Ch.8</w:t>
            </w:r>
          </w:p>
        </w:tc>
      </w:tr>
      <w:tr>
        <w:tc>
          <w:tcPr>
            <w:tcW w:type="dxa" w:w="2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References</w:t>
            </w:r>
          </w:p>
        </w:tc>
        <w:tc>
          <w:tcPr>
            <w:tcW w:type="dxa" w:w="6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Report → References</w:t>
            </w:r>
          </w:p>
        </w:tc>
      </w:tr>
    </w:tbl>
    <w:p>
      <w:pPr>
        <w:spacing w:after="160"/>
        <w:jc w:val="left"/>
      </w:pPr>
      <w:r>
        <w:rPr>
          <w:sz w:val="22"/>
          <w:szCs w:val="22"/>
        </w:rPr>
        <w:t xml:space="preserve">Generated from your 19-document ARES project documentation set. Bring this back once you have real backtest numbers and the Abstract/Results/Conclusion can be tightened into final paper prose.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ARES – Research Paper Prep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2026-07-12T15:25:34.372Z</dcterms:created>
  <dcterms:modified xsi:type="dcterms:W3CDTF">2026-07-12T15:25:34.386Z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