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26"/>
          <w:szCs w:val="26"/>
        </w:rPr>
        <w:t xml:space="preserve">BMS INSTITUTE OF TECHNOLOGY AND MANAGEMENT</w:t>
      </w:r>
    </w:p>
    <w:p>
      <w:pPr>
        <w:spacing w:after="20"/>
        <w:jc w:val="center"/>
      </w:pPr>
      <w:r>
        <w:rPr>
          <w:sz w:val="20"/>
          <w:szCs w:val="20"/>
        </w:rPr>
        <w:t xml:space="preserve">Autonomous Institute under VTU, Belagavi, Karnataka – 590 018</w:t>
      </w:r>
    </w:p>
    <w:p>
      <w:pPr>
        <w:spacing w:after="600"/>
        <w:jc w:val="center"/>
      </w:pPr>
      <w:r>
        <w:rPr>
          <w:sz w:val="20"/>
          <w:szCs w:val="20"/>
        </w:rPr>
        <w:t xml:space="preserve">Yelahanka, Bengaluru, Karnataka – 560 119</w:t>
      </w:r>
    </w:p>
    <w:p>
      <w:pPr>
        <w:spacing w:after="800"/>
        <w:jc w:val="center"/>
      </w:pPr>
      <w:r>
        <w:rPr>
          <w:b/>
          <w:bCs/>
          <w:sz w:val="22"/>
          <w:szCs w:val="22"/>
        </w:rPr>
        <w:t xml:space="preserve">DEPARTMENT OF INFORMATION SCIENCE AND ENGINEERING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Software Requirements Specification</w:t>
      </w: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Software Requirements Specification (SRS)</w:t>
      </w:r>
    </w:p>
    <w:p>
      <w:pPr>
        <w:spacing w:after="400"/>
        <w:jc w:val="center"/>
      </w:pPr>
      <w:r>
        <w:rPr>
          <w:sz w:val="22"/>
          <w:szCs w:val="22"/>
        </w:rPr>
        <w:t xml:space="preserve">IEEE 830-1998 Format — ARES Conflict Escalation Early-Warning System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Project: ARES – Conflict Escalation Early-Warning System</w:t>
      </w:r>
    </w:p>
    <w:p>
      <w:pPr>
        <w:spacing w:after="600"/>
        <w:jc w:val="center"/>
      </w:pPr>
      <w:r>
        <w:rPr>
          <w:sz w:val="20"/>
          <w:szCs w:val="20"/>
        </w:rPr>
        <w:t xml:space="preserve">Major Project – Information Science and Engineering (2022 Scheme)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Prepared by</w:t>
      </w:r>
    </w:p>
    <w:p>
      <w:pPr>
        <w:spacing w:after="40"/>
        <w:jc w:val="center"/>
      </w:pPr>
      <w:r>
        <w:rPr>
          <w:sz w:val="20"/>
          <w:szCs w:val="20"/>
        </w:rPr>
        <w:t xml:space="preserve">Ms. Shirin S Hegde   1BY23IS198  —  Data Engineering &amp; Integration Lead</w:t>
      </w:r>
    </w:p>
    <w:p>
      <w:pPr>
        <w:spacing w:after="40"/>
        <w:jc w:val="center"/>
      </w:pPr>
      <w:r>
        <w:rPr>
          <w:sz w:val="20"/>
          <w:szCs w:val="20"/>
        </w:rPr>
        <w:t xml:space="preserve">Ms. Sreshta Karthikeyan   1BY23IS215  —  AI/ML Model Developer</w:t>
      </w:r>
    </w:p>
    <w:p>
      <w:pPr>
        <w:spacing w:after="40"/>
        <w:jc w:val="center"/>
      </w:pPr>
      <w:r>
        <w:rPr>
          <w:sz w:val="20"/>
          <w:szCs w:val="20"/>
        </w:rPr>
        <w:t xml:space="preserve">Ms. Tanya Deep   1BY23IS231  —  System Development &amp; Visualization Lead</w:t>
      </w:r>
    </w:p>
    <w:p>
      <w:pPr>
        <w:spacing w:after="40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sz w:val="20"/>
          <w:szCs w:val="20"/>
        </w:rPr>
        <w:t xml:space="preserve">Under the Guidance of</w:t>
      </w:r>
    </w:p>
    <w:p>
      <w:pPr>
        <w:spacing w:after="600"/>
        <w:jc w:val="center"/>
      </w:pPr>
      <w:r>
        <w:rPr>
          <w:b/>
          <w:bCs/>
          <w:sz w:val="20"/>
          <w:szCs w:val="20"/>
        </w:rPr>
        <w:t xml:space="preserve">Prof. Sneha Sureddy, Assistant Professor, Dept. of ISE</w:t>
      </w:r>
    </w:p>
    <w:p>
      <w:pPr>
        <w:spacing w:after="200"/>
        <w:jc w:val="center"/>
      </w:pPr>
      <w:r>
        <w:rPr>
          <w:sz w:val="20"/>
          <w:szCs w:val="20"/>
        </w:rPr>
        <w:t xml:space="preserve">Version 1.0 — February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160"/>
        <w:jc w:val="left"/>
      </w:pPr>
      <w:r>
        <w:rPr>
          <w:sz w:val="22"/>
          <w:szCs w:val="22"/>
        </w:rPr>
        <w:t xml:space="preserve">This Software Requirements Specification (SRS) describes the functional and non-functional requirements of ARES, a Conflict Escalation Early-Warning System, for the VI–VII semester Major Project (2022 Scheme), Department of Information Science and Engineering, BMSIT&amp;M. It is intended for the development team, project guide, and evaluation panel.</w:t>
      </w:r>
    </w:p>
    <w:p>
      <w:pPr>
        <w:pStyle w:val="Heading2"/>
        <w:spacing w:after="120" w:before="240"/>
      </w:pPr>
      <w:r>
        <w:t xml:space="preserve">1.2 Scope</w:t>
      </w:r>
    </w:p>
    <w:p>
      <w:pPr>
        <w:spacing w:after="160"/>
        <w:jc w:val="left"/>
      </w:pPr>
      <w:r>
        <w:rPr>
          <w:sz w:val="22"/>
          <w:szCs w:val="22"/>
        </w:rPr>
        <w:t xml:space="preserve">ARES ingests open-source political event, news/media, and economic data; computes region-level escalation features; runs machine-learning inference to produce an interpretable 0–100 risk score; and presents results through an interactive dashboard with source-level explainability. The system is a decision-support tool — it does not take autonomous action.</w:t>
      </w:r>
    </w:p>
    <w:p>
      <w:pPr>
        <w:pStyle w:val="Heading2"/>
        <w:spacing w:after="120" w:before="240"/>
      </w:pPr>
      <w:r>
        <w:t xml:space="preserve">1.3 Definitions, Acronyms, and Abbreviations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Conflict Escalation Early-Warning System (project codename)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ACLED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Armed Conflict Location &amp; Event Data Project — conflict event dataset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GDELT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Database of Events, Language, and Tone — global news/event dataset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Region_Key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 identifier used to link all data sources to a geographic region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Score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0–100 output representing modeled escalation risk for a region/time window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PostGIS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Spatial database extension for PostgreSQL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Viable Product</w:t>
            </w:r>
          </w:p>
        </w:tc>
      </w:tr>
    </w:tbl>
    <w:p>
      <w:pPr>
        <w:pStyle w:val="Heading2"/>
        <w:spacing w:after="120" w:before="240"/>
      </w:pPr>
      <w:r>
        <w:t xml:space="preserve">1.4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IEEE Std 830-1998, IEEE Recommended Practice for Software Requirements Specifications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Hegre et al. (2019), "ViEWS: A Political Violence Early-Warning System", Journal of Peace Research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Raleigh et al. (2010), "Introducing ACLED", Journal of Peace Research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ARES System Architecture &amp; Design Document (companion document)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ARES Dataset Documentation (companion document)</w:t>
      </w:r>
    </w:p>
    <w:p>
      <w:pPr>
        <w:pStyle w:val="Heading2"/>
        <w:spacing w:after="120" w:before="240"/>
      </w:pPr>
      <w:r>
        <w:t xml:space="preserve">1.5 Overview</w:t>
      </w:r>
    </w:p>
    <w:p>
      <w:pPr>
        <w:spacing w:after="160"/>
        <w:jc w:val="left"/>
      </w:pPr>
      <w:r>
        <w:rPr>
          <w:sz w:val="22"/>
          <w:szCs w:val="22"/>
        </w:rPr>
        <w:t xml:space="preserve">Section 2 gives an overall product description. Section 3 lists specific functional and non-functional requirements. Section 4 lists external interface requirements. Section 5 covers system attributes such as reliability and maintainability.</w:t>
      </w:r>
    </w:p>
    <w:p>
      <w:pPr>
        <w:pStyle w:val="Heading1"/>
        <w:spacing w:after="160" w:before="320"/>
      </w:pPr>
      <w:r>
        <w:t xml:space="preserve">2. Overall Description</w:t>
      </w:r>
    </w:p>
    <w:p>
      <w:pPr>
        <w:pStyle w:val="Heading2"/>
        <w:spacing w:after="120" w:before="240"/>
      </w:pPr>
      <w:r>
        <w:t xml:space="preserve">2.1 Product Perspective</w:t>
      </w:r>
    </w:p>
    <w:p>
      <w:pPr>
        <w:spacing w:after="160"/>
        <w:jc w:val="left"/>
      </w:pPr>
      <w:r>
        <w:rPr>
          <w:sz w:val="22"/>
          <w:szCs w:val="22"/>
        </w:rPr>
        <w:t xml:space="preserve">ARES is a new, standalone academic system implemented as a modular monolith. It is not a replacement for existing conflict databases (ACLED, GDELT) but a downstream analytical layer that fuses them into actionable, explainable risk indicators.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2.2 Product Functions (Summary)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Scheduled, asynchronous ingestion of multi-source open data (event, news, economic, diplomatic).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Feature engineering: event acceleration, sentiment volatility, protest-to-violence ratio, economic stress gradient.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ML-based risk scoring per region per time window, with explainable factor breakdown.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Interactive dashboard: traffic-light region view, drill-down, trend charts, source evidence links.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Historical backtesting module for model validation against known escalation events.</w:t>
      </w:r>
    </w:p>
    <w:p>
      <w:pPr>
        <w:pStyle w:val="Heading2"/>
        <w:spacing w:after="120" w:before="240"/>
      </w:pPr>
      <w:r>
        <w:t xml:space="preserve">2.3 User Classes and Characteristics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400"/>
        <w:gridCol w:w="4400"/>
        <w:gridCol w:w="22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4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Analyst / Researcher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Views dashboard, drills into regions, reviews evidence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Evaluator</w:t>
            </w:r>
          </w:p>
        </w:tc>
        <w:tc>
          <w:tcPr>
            <w:tcW w:type="dxa" w:w="4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 backtest results and technical documentation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Administrator (dev team)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Configures data sources, triggers ingestion, maintains DB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20" w:before="240"/>
      </w:pPr>
      <w:r>
        <w:t xml:space="preserve">2.4 Operating Environment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Backend: Python 3.9+, containerized via Docker for consistent deployment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Database: PostgreSQL with PostGIS extension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Frontend: browser-based dashboard, polling-based updates (60s interval)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Deployment target: single-host/local demo environment for academic evaluation</w:t>
      </w:r>
    </w:p>
    <w:p>
      <w:pPr>
        <w:pStyle w:val="Heading2"/>
        <w:spacing w:after="120" w:before="240"/>
      </w:pPr>
      <w:r>
        <w:t xml:space="preserve">2.5 Design and Implementation Constraints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Zero-budget constraint: only free/open-source tools and academic-licensed datasets.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classified, dark-web, or non-public data sources permitted.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Must remain explainable — no "black box" outputs without a traceable source.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Single-host modular monolith; no microservices/service-mesh complexity.</w:t>
      </w:r>
    </w:p>
    <w:p>
      <w:pPr>
        <w:pStyle w:val="Heading2"/>
        <w:spacing w:after="120" w:before="240"/>
      </w:pPr>
      <w:r>
        <w:t xml:space="preserve">2.6 Assumptions and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Continued free-tier availability of GDELT (BigQuery), ACLED academic access, and World Bank/IMF APIs.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Open-source data density is assumed sufficient for regions selected for MVP validation.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Team retains access to a machine capable of running PostgreSQL/PostGIS and Python ML libraries locally.</w:t>
      </w:r>
    </w:p>
    <w:p>
      <w:pPr>
        <w:pStyle w:val="Heading1"/>
        <w:spacing w:after="160" w:before="320"/>
      </w:pPr>
      <w:r>
        <w:t xml:space="preserve">3. Specific Requirements</w:t>
      </w:r>
    </w:p>
    <w:p>
      <w:pPr>
        <w:pStyle w:val="Heading2"/>
        <w:spacing w:after="120" w:before="240"/>
      </w:pPr>
      <w:r>
        <w:t xml:space="preserve">3.1 Functional Requirements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900"/>
        <w:gridCol w:w="69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ingest event data from ACLED/GDELT/ICEWS on a scheduled basis (every 30–60 minutes) without manual intervention.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6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ingest news/media data and compute a tone/sentiment score per article.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ingest quarterly economic indicators (inflation, GDP growth, unemployment, sanctions) per country.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6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link all ingested records to a common Region_Key for cross-source aggregation.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rolling-window features: event acceleration, sentiment volatility, protest-to-violence ratio.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6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an interpretable 0–100 risk score per region per time window using the trained ML model.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a traffic-light (Green/Amber/Red) risk indicator per region on the dashboard.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6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to drill into a region and view its contributing risk factors.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a "View Source" action linking each alert to the underlying article/event record.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6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historical backtesting: restricting ingestion to a past date range and evaluating detection lead time.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a 90-day risk-score trend line per region.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6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export of a region's risk report (PDF/CSV).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send an alert notification when a region's risk score crosses a configurable threshold.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6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a "what-if" sandbox to adjust input parameters and observe predicted risk change.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Won't (MVP)</w:t>
            </w:r>
          </w:p>
        </w:tc>
      </w:tr>
    </w:tbl>
    <w:p>
      <w:pPr>
        <w:pStyle w:val="Heading2"/>
        <w:spacing w:after="120" w:before="240"/>
      </w:pPr>
      <w:r>
        <w:t xml:space="preserve">3.2 Non-Functional Requirements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900"/>
        <w:gridCol w:w="2200"/>
        <w:gridCol w:w="65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dashboard shall load within 3 seconds under normal conditions.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remain functional using last-cached data if external APIs or internet connectivity are unavailable.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risk score shall be accompanied by a factor breakdown and a traceable source link; no unexplained scores shall be surfaced.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65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model shall achieve a recall of at least 75% for historical "high-impact" escalation events in backtesting.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 Alarm Control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false positive rate for high-risk alerts shall remain below 15% in backtesting.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5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keys and credentials shall be stored via environment variables (.env) and excluded from version control.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Personally identifiable information incidentally captured from social/news sources shall be anonymized before storage.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5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be organized as clearly separated internal modules (ingestion, storage, features, model, API, frontend).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be containerized (Docker) to ensure consistent environment reproduction for demo and evaluation.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NFR-10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5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first-time analyst user shall be able to identify the highest-risk region within 10 seconds of opening the dashboard.</w:t>
            </w:r>
          </w:p>
        </w:tc>
      </w:tr>
    </w:tbl>
    <w:p>
      <w:pPr>
        <w:pStyle w:val="Heading2"/>
        <w:spacing w:after="120" w:before="240"/>
      </w:pPr>
      <w:r>
        <w:t xml:space="preserve">3.3 External Interface Requirements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A browser-based dashboard providing: a global region overview (traffic-light cards), an interactive risk heatmap, region drill-down views, trend charts, and an explainability panel. See the UI/UX Wireframes document for detailed mockups.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None beyond a standard host machine (CPU-based; no specialized hardware required for the MVP model set).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600"/>
        <w:gridCol w:w="2600"/>
        <w:gridCol w:w="4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 Type</w:t>
            </w:r>
          </w:p>
        </w:tc>
        <w:tc>
          <w:tcPr>
            <w:tcW w:type="dxa" w:w="4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ACLED API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/ academic data export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Conflict event records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GDELT (BigQuery)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query interface</w:t>
            </w:r>
          </w:p>
        </w:tc>
        <w:tc>
          <w:tcPr>
            <w:tcW w:type="dxa" w:w="4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 tone &amp; global event mentions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NewsAPI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Headline and article metadata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World Bank / IMF APIs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</w:t>
            </w:r>
          </w:p>
        </w:tc>
        <w:tc>
          <w:tcPr>
            <w:tcW w:type="dxa" w:w="4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Quarterly economic indicators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/ DB driver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Persistent storage for all ingested and derived data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HTTPS for all external API calls; internal frontend-backend communication via polling REST endpoints (60-second interval).</w:t>
      </w:r>
    </w:p>
    <w:p>
      <w:pPr>
        <w:pStyle w:val="Heading1"/>
        <w:spacing w:after="160" w:before="320"/>
      </w:pPr>
      <w:r>
        <w:t xml:space="preserve">4. System Features (Traceability to Use Cases)</w:t>
      </w:r>
    </w:p>
    <w:p>
      <w:pPr>
        <w:spacing w:after="160"/>
        <w:jc w:val="left"/>
      </w:pPr>
      <w:r>
        <w:rPr>
          <w:sz w:val="22"/>
          <w:szCs w:val="22"/>
        </w:rPr>
        <w:t xml:space="preserve">See the companion Use Case &amp; ER Diagram document for the full use-case model. Primary actors are the Analyst/Researcher, the System Administrator, and the automated Task Scheduler.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t xml:space="preserve">5. Other Non-Functional Attributes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Scheduled ingestion jobs shall log failures and retry with backoff; a single API failure shall not block ingestion from other sources.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See the companion Ethical &amp; Bias Considerations document for detailed requirements on source-credibility weighting, de-escalation markers, and human-in-the-loop verification, which are binding constraints on system design.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High-fidelity raw data is retained on a rolling 90-day window; aggregated features and historical risk scores are retained for the life of the project for backtesting reproducibility.</w:t>
      </w:r>
    </w:p>
    <w:p>
      <w:pPr>
        <w:pStyle w:val="Heading1"/>
        <w:spacing w:after="160" w:before="320"/>
      </w:pPr>
      <w:r>
        <w:t xml:space="preserve">6. Appendix</w:t>
      </w:r>
    </w:p>
    <w:p>
      <w:pPr>
        <w:spacing w:after="160"/>
        <w:jc w:val="left"/>
      </w:pPr>
      <w:r>
        <w:rPr>
          <w:sz w:val="22"/>
          <w:szCs w:val="22"/>
        </w:rPr>
        <w:t xml:space="preserve">Appendix A — Full data dictionary: see companion Data Dictionary document.</w:t>
      </w:r>
    </w:p>
    <w:p>
      <w:pPr>
        <w:spacing w:after="160"/>
        <w:jc w:val="left"/>
      </w:pPr>
      <w:r>
        <w:rPr>
          <w:sz w:val="22"/>
          <w:szCs w:val="22"/>
        </w:rPr>
        <w:t xml:space="preserve">Appendix B — Model selection and evaluation metrics: see companion Model Selection &amp; Evaluation Plan document.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ARES –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4bbb5c0d19bb38ced2704b74e7b16022f9737a.png"/><Relationship Id="rId10" Type="http://schemas.openxmlformats.org/officeDocument/2006/relationships/image" Target="media/6e72d2263ae9644927f0ae7ceb444e7fbe97679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2026-07-11T18:49:48.547Z</dcterms:created>
  <dcterms:modified xsi:type="dcterms:W3CDTF">2026-07-11T18:49:48.547Z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