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System Architecture Document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System Architecture Document</w:t>
      </w:r>
    </w:p>
    <w:p>
      <w:pPr>
        <w:spacing w:after="400"/>
        <w:jc w:val="center"/>
      </w:pPr>
      <w:r>
        <w:rPr>
          <w:sz w:val="22"/>
          <w:szCs w:val="22"/>
        </w:rPr>
        <w:t xml:space="preserve">High-Level Design — Data Pipeline, ML Model, Alerting, Dashboard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Architecture Overview</w:t>
      </w:r>
    </w:p>
    <w:p>
      <w:pPr>
        <w:spacing w:after="160"/>
        <w:jc w:val="left"/>
      </w:pPr>
      <w:r>
        <w:rPr>
          <w:sz w:val="22"/>
          <w:szCs w:val="22"/>
        </w:rPr>
        <w:t xml:space="preserve">ARES is implemented as a Modular Monolith: all components run as a single deployable application, but are logically separated into independent internal modules. This was chosen over microservices for faster development, easier debugging, and zero DevOps overhead — appropriate for a student project timeline.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/ingestion — API data collection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/storage — Database access layer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/features —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/model — ML training &amp; inference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/api — Backend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/frontend — Dashboard &amp; visualization</w:t>
      </w:r>
    </w:p>
    <w:p>
      <w:pPr>
        <w:pStyle w:val="Heading1"/>
        <w:spacing w:after="160" w:before="320"/>
      </w:pPr>
      <w:r>
        <w:t xml:space="preserve">2. High-Level Data Flow</w:t>
      </w:r>
    </w:p>
    <w:p>
      <w:pPr>
        <w:spacing w:after="200" w:before="100"/>
        <w:jc w:val="center"/>
      </w:pPr>
      <w:r>
        <w:drawing>
          <wp:inline distT="0" distB="0" distL="0" distR="0">
            <wp:extent cx="44767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sz w:val="22"/>
          <w:szCs w:val="22"/>
        </w:rPr>
        <w:t xml:space="preserve">External APIs → Task Scheduler (Cron) → Asynchronous Ingestion Layer → PostgreSQL (Raw Data) → Feature Engineering → Feature Store (PostgreSQL) → ML Inference → Results Store → Frontend Dashboard.</w:t>
      </w:r>
    </w:p>
    <w:p>
      <w:pPr>
        <w:spacing w:after="160"/>
        <w:jc w:val="left"/>
      </w:pPr>
      <w:r>
        <w:rPr>
          <w:sz w:val="22"/>
          <w:szCs w:val="22"/>
        </w:rPr>
        <w:t xml:space="preserve">A vector database is deliberately not used: the project relies on feature-based ML rather than semantic search, and no large-scale embedding retrieval is required, so a vector store would add unnecessary complexity for this scope.</w:t>
      </w:r>
    </w:p>
    <w:p>
      <w:pPr>
        <w:pStyle w:val="Heading1"/>
        <w:spacing w:after="160" w:before="320"/>
      </w:pPr>
      <w:r>
        <w:t xml:space="preserve">3. Concurrency &amp; API Handling</w:t>
      </w:r>
    </w:p>
    <w:p>
      <w:pPr>
        <w:spacing w:after="160"/>
        <w:jc w:val="left"/>
      </w:pPr>
      <w:r>
        <w:rPr>
          <w:sz w:val="22"/>
          <w:szCs w:val="22"/>
        </w:rPr>
        <w:t xml:space="preserve">Ingestion uses asynchronous Python (asyncio with aiohttp/httpx) so multiple external APIs are fetched in parallel without blocking. Cron jobs trigger ingestion every 30–60 minutes; Celery-based task queuing is not required at this scale.</w:t>
      </w:r>
    </w:p>
    <w:p>
      <w:pPr>
        <w:pStyle w:val="Heading1"/>
        <w:spacing w:after="160" w:before="320"/>
      </w:pPr>
      <w:r>
        <w:t xml:space="preserve">4. Data Persistence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Chosen for structured relational data, native geographic support, time-series-friendly querying, and industry-standard status. MongoDB was considered and rejected due to weak relational joins and poor temporal aggregation for this analytics-heavy workload.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All data sources are linked using a common Region_Key rather than raw coordinates or event IDs, enabling clean aggregation and avoiding noisy event-to-event joins. See the Use Case &amp; ER Diagram document for the full entity-relationship model.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A hybrid cache is used: (1) database-level caching of API responses with timestamps, queried only when stale; (2) a short-TTL (5–15 min) in-memory LRU cache. Redis was considered and rejected as unnecessary operational complexity for a single-user/low-traffic academic system.</w:t>
      </w:r>
    </w:p>
    <w:p>
      <w:pPr>
        <w:pStyle w:val="Heading1"/>
        <w:spacing w:after="160" w:before="320"/>
      </w:pPr>
      <w:r>
        <w:t xml:space="preserve">5. ML / AI Pipeline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Stored in PostgreSQL, per region and time window: event frequency, event acceleration, sentiment volatility, protest-to-violence ratio, diplomatic silence duration.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Models are loaded in-memory at server startup for low-latency inference and simple deployment; separate ML microservices are unnecessary for a single-model system.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A hybrid strategy is used: scheduled hourly baseline updates, plus on-demand inference when a user triggers region-specific analysis — balancing performance and responsiveness.</w:t>
      </w:r>
    </w:p>
    <w:p>
      <w:pPr>
        <w:pStyle w:val="Heading1"/>
        <w:spacing w:after="160" w:before="320"/>
      </w:pPr>
      <w:r>
        <w:t xml:space="preserve">6. Frontend &amp; Visualization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The frontend polls for updates every 60 seconds. This is simpler and more reliable than WebSockets, which are unnecessary since sub-second real-time alerts are not a requirement for this system.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Client-side rendering via MapLibre/Plotly Mapbox for interactive heatmaps with zoom/pan support and lower server load. Only aggregated geographic data is sent to the frontend.</w:t>
      </w:r>
    </w:p>
    <w:p>
      <w:pPr>
        <w:pStyle w:val="Heading1"/>
        <w:spacing w:after="160" w:before="320"/>
      </w:pPr>
      <w:r>
        <w:t xml:space="preserve">7. DevSecOps &amp; Deployment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Docker is used to ensure environment consistency, simplify demo/deployment, and reflect professional best practice; a single-container deployment is sufficient for this scope.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API keys are stored in a .env file, excluded from version control via .gitignore, and accessed via environment variables at runtime.</w:t>
      </w:r>
    </w:p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sz w:val="22"/>
          <w:szCs w:val="22"/>
        </w:rPr>
        <w:t xml:space="preserve">GitHub Actions for linting, unit tests, and build verification is optional but recommended for project polish.</w:t>
      </w:r>
    </w:p>
    <w:p>
      <w:pPr>
        <w:pStyle w:val="Heading1"/>
        <w:spacing w:after="160" w:before="320"/>
      </w:pPr>
      <w:r>
        <w:t xml:space="preserve">8. Architecture Summary</w:t>
      </w:r>
    </w:p>
    <w:p>
      <w:pPr>
        <w:spacing w:after="160"/>
        <w:jc w:val="left"/>
      </w:pPr>
      <w:r>
        <w:rPr>
          <w:sz w:val="22"/>
          <w:szCs w:val="22"/>
        </w:rPr>
        <w:t xml:space="preserve">The system is implemented as a modular monolith using Python, with asynchronous data ingestion, PostgreSQL with PostGIS for spatial and temporal storage, and a scheduled machine-learning inference pipeline. Feature engineering and model inference are tightly integrated, and results are served through a lightweight dashboard. The architecture prioritizes simplicity, explainability, and scalability within a student-friendly scope.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4bbb5c0d19bb38ced2704b74e7b16022f973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2026-07-11T18:49:49.127Z</dcterms:created>
  <dcterms:modified xsi:type="dcterms:W3CDTF">2026-07-11T18:49:49.127Z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