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sz w:val="26"/>
          <w:szCs w:val="26"/>
        </w:rPr>
        <w:t xml:space="preserve">BMS INSTITUTE OF TECHNOLOGY AND MANAGEMENT</w:t>
      </w:r>
    </w:p>
    <w:p>
      <w:pPr>
        <w:spacing w:after="20"/>
        <w:jc w:val="center"/>
      </w:pPr>
      <w:r>
        <w:rPr>
          <w:sz w:val="20"/>
          <w:szCs w:val="20"/>
        </w:rPr>
        <w:t xml:space="preserve">Autonomous Institute under VTU, Belagavi, Karnataka – 590 018</w:t>
      </w:r>
    </w:p>
    <w:p>
      <w:pPr>
        <w:spacing w:after="600"/>
        <w:jc w:val="center"/>
      </w:pPr>
      <w:r>
        <w:rPr>
          <w:sz w:val="20"/>
          <w:szCs w:val="20"/>
        </w:rPr>
        <w:t xml:space="preserve">Yelahanka, Bengaluru, Karnataka – 560 119</w:t>
      </w:r>
    </w:p>
    <w:p>
      <w:pPr>
        <w:spacing w:after="800"/>
        <w:jc w:val="center"/>
      </w:pPr>
      <w:r>
        <w:rPr>
          <w:b/>
          <w:bCs/>
          <w:sz w:val="22"/>
          <w:szCs w:val="22"/>
        </w:rPr>
        <w:t xml:space="preserve">DEPARTMENT OF INFORMATION SCIENCE AND ENGINEERING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Test Plan</w:t>
      </w:r>
    </w:p>
    <w:p>
      <w:pPr>
        <w:spacing w:after="120"/>
        <w:jc w:val="center"/>
      </w:pPr>
      <w:r>
        <w:rPr>
          <w:b/>
          <w:bCs/>
          <w:color w:val="1F3864"/>
          <w:sz w:val="34"/>
          <w:szCs w:val="34"/>
        </w:rPr>
        <w:t xml:space="preserve">Test Plan</w:t>
      </w:r>
    </w:p>
    <w:p>
      <w:pPr>
        <w:spacing w:after="400"/>
        <w:jc w:val="center"/>
      </w:pPr>
      <w:r>
        <w:rPr>
          <w:sz w:val="22"/>
          <w:szCs w:val="22"/>
        </w:rPr>
        <w:t xml:space="preserve">Unit, Integration, and Model Validation Testing</w:t>
      </w:r>
    </w:p>
    <w:p>
      <w:pPr>
        <w:spacing w:after="40"/>
        <w:jc w:val="center"/>
      </w:pPr>
      <w:r>
        <w:rPr>
          <w:sz w:val="20"/>
          <w:szCs w:val="20"/>
        </w:rPr>
        <w:t xml:space="preserve">Project: ARES – Conflict Escalation Early-Warning System</w:t>
      </w:r>
    </w:p>
    <w:p>
      <w:pPr>
        <w:spacing w:after="600"/>
        <w:jc w:val="center"/>
      </w:pPr>
      <w:r>
        <w:rPr>
          <w:sz w:val="20"/>
          <w:szCs w:val="20"/>
        </w:rPr>
        <w:t xml:space="preserve">Major Project – Information Science and Engineering (2022 Scheme)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Prepared by</w:t>
      </w:r>
    </w:p>
    <w:p>
      <w:pPr>
        <w:spacing w:after="40"/>
        <w:jc w:val="center"/>
      </w:pPr>
      <w:r>
        <w:rPr>
          <w:sz w:val="20"/>
          <w:szCs w:val="20"/>
        </w:rPr>
        <w:t xml:space="preserve">Ms. Shirin S Hegde   1BY23IS198  —  Data Engineering &amp; Integration Lead</w:t>
      </w:r>
    </w:p>
    <w:p>
      <w:pPr>
        <w:spacing w:after="40"/>
        <w:jc w:val="center"/>
      </w:pPr>
      <w:r>
        <w:rPr>
          <w:sz w:val="20"/>
          <w:szCs w:val="20"/>
        </w:rPr>
        <w:t xml:space="preserve">Ms. Sreshta Karthikeyan   1BY23IS215  —  AI/ML Model Developer</w:t>
      </w:r>
    </w:p>
    <w:p>
      <w:pPr>
        <w:spacing w:after="40"/>
        <w:jc w:val="center"/>
      </w:pPr>
      <w:r>
        <w:rPr>
          <w:sz w:val="20"/>
          <w:szCs w:val="20"/>
        </w:rPr>
        <w:t xml:space="preserve">Ms. Tanya Deep   1BY23IS231  —  System Development &amp; Visualization Lead</w:t>
      </w:r>
    </w:p>
    <w:p>
      <w:pPr>
        <w:spacing w:after="400"/>
      </w:pPr>
      <w:r>
        <w:rPr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sz w:val="20"/>
          <w:szCs w:val="20"/>
        </w:rPr>
        <w:t xml:space="preserve">Under the Guidance of</w:t>
      </w:r>
    </w:p>
    <w:p>
      <w:pPr>
        <w:spacing w:after="600"/>
        <w:jc w:val="center"/>
      </w:pPr>
      <w:r>
        <w:rPr>
          <w:b/>
          <w:bCs/>
          <w:sz w:val="20"/>
          <w:szCs w:val="20"/>
        </w:rPr>
        <w:t xml:space="preserve">Prof. Sneha Sureddy, Assistant Professor, Dept. of ISE</w:t>
      </w:r>
    </w:p>
    <w:p>
      <w:pPr>
        <w:spacing w:after="200"/>
        <w:jc w:val="center"/>
      </w:pPr>
      <w:r>
        <w:rPr>
          <w:sz w:val="20"/>
          <w:szCs w:val="20"/>
        </w:rPr>
        <w:t xml:space="preserve">February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Objectives</w:t>
      </w:r>
    </w:p>
    <w:p>
      <w:pPr>
        <w:spacing w:after="160"/>
        <w:jc w:val="left"/>
      </w:pPr>
      <w:r>
        <w:rPr>
          <w:sz w:val="22"/>
          <w:szCs w:val="22"/>
        </w:rPr>
        <w:t xml:space="preserve">Verify that ARES meets the functional requirements (FR-01–FR-12) and non-functional requirements (NFR-01–NFR-10) defined in the SRS, with particular emphasis on data-pipeline correctness, model validity (via backtesting), and dashboard usability.</w:t>
      </w:r>
    </w:p>
    <w:p>
      <w:pPr>
        <w:pStyle w:val="Heading1"/>
        <w:spacing w:after="160" w:before="320"/>
      </w:pPr>
      <w:r>
        <w:t xml:space="preserve">2.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 scope: ingestion pipeline, feature engineering correctness, risk-score computation, dashboard functionality, backtesting validation.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Out of scope: load/performance testing at production scale (beyond the single-host demo environment); penetration testing.</w:t>
      </w:r>
    </w:p>
    <w:p>
      <w:pPr>
        <w:pStyle w:val="Heading1"/>
        <w:spacing w:after="160" w:before="320"/>
      </w:pPr>
      <w:r>
        <w:t xml:space="preserve">3. Test Levels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CCCCCC" w:sz="2"/>
          <w:insideV w:val="single" w:color="CCCCCC" w:sz="2"/>
        </w:tblBorders>
      </w:tblPr>
      <w:tblGrid>
        <w:gridCol w:w="2000"/>
        <w:gridCol w:w="4800"/>
        <w:gridCol w:w="22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4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functions: feature formulas, region-key matching, API parsers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owner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End-to-end flow: ingestion → storage → features → inference → dashboard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Whole team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Validation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Historical backtesting against documented escalation cases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Sreshta (ML Model Developer)</w:t>
            </w:r>
          </w:p>
        </w:tc>
      </w:tr>
      <w:tr>
        <w:tc>
          <w:tcPr>
            <w:tcW w:type="dxa" w:w="20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UI/Usability Testing</w:t>
            </w:r>
          </w:p>
        </w:tc>
        <w:tc>
          <w:tcPr>
            <w:tcW w:type="dxa" w:w="48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load time, drill-down navigation, source-link accuracy</w:t>
            </w:r>
          </w:p>
        </w:tc>
        <w:tc>
          <w:tcPr>
            <w:tcW w:type="dxa" w:w="2200"/>
            <w:shd w:fill="F2F6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Tanya (Visualization Lead)</w:t>
            </w:r>
          </w:p>
        </w:tc>
      </w:tr>
    </w:tbl>
    <w:p>
      <w:pPr>
        <w:pStyle w:val="Heading1"/>
        <w:spacing w:after="160" w:before="320"/>
      </w:pPr>
      <w:r>
        <w:t xml:space="preserve">4. Entry &amp; Exit Criteria</w:t>
      </w:r>
    </w:p>
    <w:p>
      <w:pPr>
        <w:spacing w:after="160"/>
        <w:jc w:val="left"/>
      </w:pPr>
      <w:r>
        <w:rPr>
          <w:sz w:val="22"/>
          <w:szCs w:val="22"/>
        </w:rPr>
        <w:t xml:space="preserve">Entry: ingestion pipeline runs end-to-end without crash on a sample dataset; database schema is migrated and stable.</w:t>
      </w:r>
    </w:p>
    <w:p>
      <w:pPr>
        <w:spacing w:after="160"/>
        <w:jc w:val="left"/>
      </w:pPr>
      <w:r>
        <w:rPr>
          <w:sz w:val="22"/>
          <w:szCs w:val="22"/>
        </w:rPr>
        <w:t xml:space="preserve">Exit: all Must-priority functional requirements pass their test cases; backtest recall/precision/FPR targets in the Model Selection &amp; Evaluation Plan are met or formally documented as a known gap.</w:t>
      </w:r>
    </w:p>
    <w:p>
      <w:pPr>
        <w:pStyle w:val="Heading1"/>
        <w:spacing w:after="160" w:before="320"/>
      </w:pPr>
      <w:r>
        <w:t xml:space="preserve">5. Test Environment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Local development machine running PostgreSQL + PostGIS via Docker.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Sample/cached API responses used for repeatable ingestion tests (to avoid live-quota consumption during CI).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Historical dataset (restricted date range) used specifically for backtesting validation runs.</w:t>
      </w:r>
    </w:p>
    <w:p>
      <w:pPr>
        <w:pStyle w:val="Heading1"/>
        <w:spacing w:after="160" w:before="320"/>
      </w:pPr>
      <w:r>
        <w:t xml:space="preserve">6. Defect Management</w:t>
      </w:r>
    </w:p>
    <w:p>
      <w:pPr>
        <w:spacing w:after="160"/>
        <w:jc w:val="left"/>
      </w:pPr>
      <w:r>
        <w:rPr>
          <w:sz w:val="22"/>
          <w:szCs w:val="22"/>
        </w:rPr>
        <w:t xml:space="preserve">Defects are logged with severity (Critical / Major / Minor), linked to the failing requirement ID (FR-xx / NFR-xx), and tracked to closure before the relevant review milestone. Critical defects (data loss, crash, silently wrong risk score) block sign-off for that milestone.</w:t>
      </w:r>
    </w:p>
    <w:p>
      <w:pPr>
        <w:pStyle w:val="Heading1"/>
        <w:spacing w:after="160" w:before="320"/>
      </w:pPr>
      <w:r>
        <w:t xml:space="preserve">7. Deliverables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Test Plan document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 Case Sheets (companion spreadsheet)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Backtest validation report (Galwan-style historical case study)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Defect log with resolution status at each review milestone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ARES –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2026-07-11T18:49:51.195Z</dcterms:created>
  <dcterms:modified xsi:type="dcterms:W3CDTF">2026-07-11T18:49:51.195Z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