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sz w:val="26"/>
          <w:szCs w:val="26"/>
        </w:rPr>
        <w:t xml:space="preserve">BMS INSTITUTE OF TECHNOLOGY AND MANAGEMENT</w:t>
      </w:r>
    </w:p>
    <w:p>
      <w:pPr>
        <w:spacing w:after="20"/>
        <w:jc w:val="center"/>
      </w:pPr>
      <w:r>
        <w:rPr>
          <w:sz w:val="20"/>
          <w:szCs w:val="20"/>
        </w:rPr>
        <w:t xml:space="preserve">Autonomous Institute under VTU, Belagavi, Karnataka – 590 018</w:t>
      </w:r>
    </w:p>
    <w:p>
      <w:pPr>
        <w:spacing w:after="600"/>
        <w:jc w:val="center"/>
      </w:pPr>
      <w:r>
        <w:rPr>
          <w:sz w:val="20"/>
          <w:szCs w:val="20"/>
        </w:rPr>
        <w:t xml:space="preserve">Yelahanka, Bengaluru, Karnataka – 560 119</w:t>
      </w:r>
    </w:p>
    <w:p>
      <w:pPr>
        <w:spacing w:after="800"/>
        <w:jc w:val="center"/>
      </w:pPr>
      <w:r>
        <w:rPr>
          <w:b/>
          <w:bCs/>
          <w:sz w:val="22"/>
          <w:szCs w:val="22"/>
        </w:rPr>
        <w:t xml:space="preserve">DEPARTMENT OF INFORMATION SCIENCE AND ENGINEERING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Use Case and ER Diagrams</w:t>
      </w:r>
    </w:p>
    <w:p>
      <w:pPr>
        <w:spacing w:after="120"/>
        <w:jc w:val="center"/>
      </w:pPr>
      <w:r>
        <w:rPr>
          <w:b/>
          <w:bCs/>
          <w:color w:val="1F3864"/>
          <w:sz w:val="34"/>
          <w:szCs w:val="34"/>
        </w:rPr>
        <w:t xml:space="preserve">Use Case Diagram &amp; Entity-Relationship Diagram</w:t>
      </w:r>
    </w:p>
    <w:p>
      <w:pPr>
        <w:spacing w:after="40"/>
        <w:jc w:val="center"/>
      </w:pPr>
      <w:r>
        <w:rPr>
          <w:sz w:val="20"/>
          <w:szCs w:val="20"/>
        </w:rPr>
        <w:t xml:space="preserve">Project: ARES – Conflict Escalation Early-Warning System</w:t>
      </w:r>
    </w:p>
    <w:p>
      <w:pPr>
        <w:spacing w:after="600"/>
        <w:jc w:val="center"/>
      </w:pPr>
      <w:r>
        <w:rPr>
          <w:sz w:val="20"/>
          <w:szCs w:val="20"/>
        </w:rPr>
        <w:t xml:space="preserve">Major Project – Information Science and Engineering (2022 Scheme)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Prepared by</w:t>
      </w:r>
    </w:p>
    <w:p>
      <w:pPr>
        <w:spacing w:after="40"/>
        <w:jc w:val="center"/>
      </w:pPr>
      <w:r>
        <w:rPr>
          <w:sz w:val="20"/>
          <w:szCs w:val="20"/>
        </w:rPr>
        <w:t xml:space="preserve">Ms. Shirin S Hegde   1BY23IS198  —  Data Engineering &amp; Integration Lead</w:t>
      </w:r>
    </w:p>
    <w:p>
      <w:pPr>
        <w:spacing w:after="40"/>
        <w:jc w:val="center"/>
      </w:pPr>
      <w:r>
        <w:rPr>
          <w:sz w:val="20"/>
          <w:szCs w:val="20"/>
        </w:rPr>
        <w:t xml:space="preserve">Ms. Sreshta Karthikeyan   1BY23IS215  —  AI/ML Model Developer</w:t>
      </w:r>
    </w:p>
    <w:p>
      <w:pPr>
        <w:spacing w:after="40"/>
        <w:jc w:val="center"/>
      </w:pPr>
      <w:r>
        <w:rPr>
          <w:sz w:val="20"/>
          <w:szCs w:val="20"/>
        </w:rPr>
        <w:t xml:space="preserve">Ms. Tanya Deep   1BY23IS231  —  System Development &amp; Visualization Lead</w:t>
      </w:r>
    </w:p>
    <w:p>
      <w:pPr>
        <w:spacing w:after="400"/>
      </w:pPr>
      <w:r>
        <w:rPr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sz w:val="20"/>
          <w:szCs w:val="20"/>
        </w:rPr>
        <w:t xml:space="preserve">Under the Guidance of</w:t>
      </w:r>
    </w:p>
    <w:p>
      <w:pPr>
        <w:spacing w:after="600"/>
        <w:jc w:val="center"/>
      </w:pPr>
      <w:r>
        <w:rPr>
          <w:b/>
          <w:bCs/>
          <w:sz w:val="20"/>
          <w:szCs w:val="20"/>
        </w:rPr>
        <w:t xml:space="preserve">Prof. Sneha Sureddy, Assistant Professor, Dept. of ISE</w:t>
      </w:r>
    </w:p>
    <w:p>
      <w:pPr>
        <w:spacing w:after="200"/>
        <w:jc w:val="center"/>
      </w:pPr>
      <w:r>
        <w:rPr>
          <w:sz w:val="20"/>
          <w:szCs w:val="20"/>
        </w:rPr>
        <w:t xml:space="preserve">February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Use Case Diagram</w:t>
      </w:r>
    </w:p>
    <w:p>
      <w:pPr>
        <w:spacing w:after="200" w:before="10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Risk Dashboard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Analyst/Researcher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global traffic-light risk overview</w:t>
            </w:r>
          </w:p>
        </w:tc>
      </w:tr>
      <w:tr>
        <w:tc>
          <w:tcPr>
            <w:tcW w:type="dxa" w:w="2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 Region/Time Window</w:t>
            </w:r>
          </w:p>
        </w:tc>
        <w:tc>
          <w:tcPr>
            <w:tcW w:type="dxa" w:w="20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Analyst/Researcher</w:t>
            </w:r>
          </w:p>
        </w:tc>
        <w:tc>
          <w:tcPr>
            <w:tcW w:type="dxa" w:w="4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 dashboard by region and date range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Escalation Alert Details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Analyst/Researcher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Drill into a region's contributing factors and evidence</w:t>
            </w:r>
          </w:p>
        </w:tc>
      </w:tr>
      <w:tr>
        <w:tc>
          <w:tcPr>
            <w:tcW w:type="dxa" w:w="2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Report</w:t>
            </w:r>
          </w:p>
        </w:tc>
        <w:tc>
          <w:tcPr>
            <w:tcW w:type="dxa" w:w="20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Analyst/Researcher</w:t>
            </w:r>
          </w:p>
        </w:tc>
        <w:tc>
          <w:tcPr>
            <w:tcW w:type="dxa" w:w="4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a region's risk report as PDF/CSV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 Data Ingestion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Admin, Task Scheduler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Manually or automatically start an ingestion cycle</w:t>
            </w:r>
          </w:p>
        </w:tc>
      </w:tr>
      <w:tr>
        <w:tc>
          <w:tcPr>
            <w:tcW w:type="dxa" w:w="2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ML Inference</w:t>
            </w:r>
          </w:p>
        </w:tc>
        <w:tc>
          <w:tcPr>
            <w:tcW w:type="dxa" w:w="20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Admin (included by ingestion)</w:t>
            </w:r>
          </w:p>
        </w:tc>
        <w:tc>
          <w:tcPr>
            <w:tcW w:type="dxa" w:w="4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Recompute risk scores after new data lands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Data Sources / Config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Add/modify API credentials and source configuration</w:t>
            </w:r>
          </w:p>
        </w:tc>
      </w:tr>
    </w:tbl>
    <w:p>
      <w:pPr>
        <w:pStyle w:val="Heading1"/>
        <w:spacing w:after="160" w:before="320"/>
      </w:pPr>
      <w:r>
        <w:t xml:space="preserve">2. Entity-Relationship Diagram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sz w:val="22"/>
          <w:szCs w:val="22"/>
        </w:rPr>
        <w:t xml:space="preserve">All fact tables (news_articles, conflict_events, features, economic_indicators, risk_results) are linked to the central regions table via the Region_Key foreign key, enabling consistent cross-source aggregation without noisy event-to-event joins. Full column-level definitions are provided in the companion Data Dictionary document.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ARES – Use Case and ER Diagrams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e72d2263ae9644927f0ae7ceb444e7fbe97679e.png"/><Relationship Id="rId10" Type="http://schemas.openxmlformats.org/officeDocument/2006/relationships/image" Target="media/cd1c89a57ecced0c323987b709b9db3cf9865b9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2026-07-11T18:49:49.859Z</dcterms:created>
  <dcterms:modified xsi:type="dcterms:W3CDTF">2026-07-11T18:49:49.859Z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