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b/>
        </w:rPr>
        <w:t>Highlights</w:t>
      </w:r>
    </w:p>
    <w:p>
      <w:pPr>
        <w:pStyle w:val="ListParagraph"/>
      </w:pPr>
      <w:r>
        <w:t>• A unified subnational conflict early-warning framework fusing event, narrative, economic, and diplomatic signals.</w:t>
      </w:r>
    </w:p>
    <w:p>
      <w:pPr>
        <w:pStyle w:val="ListParagraph"/>
      </w:pPr>
      <w:r>
        <w:t>• Standardized regional linking key (Region_Key) design for spatial-temporal multi-source data integration.</w:t>
      </w:r>
    </w:p>
    <w:p>
      <w:pPr>
        <w:pStyle w:val="ListParagraph"/>
      </w:pPr>
      <w:r>
        <w:t>• Explainable-by-design architecture providing traceable factor breakdowns and source-level tracebacks for every alert.</w:t>
      </w:r>
    </w:p>
    <w:p>
      <w:pPr>
        <w:pStyle w:val="Heading1"/>
      </w:pPr>
      <w:r>
        <w:t>ARES: An Explainable Multi-Source Data Fusion Framework for Conflict Escalation Early Warning</w:t>
      </w:r>
    </w:p>
    <w:p>
      <w:pPr>
        <w:pStyle w:val="BodyText"/>
      </w:pPr>
      <w:r>
        <w:rPr>
          <w:i/>
        </w:rPr>
        <w:t>Tanya Deep, Shirin S. Hegde, Sreshta Karthikeyan</w:t>
      </w:r>
    </w:p>
    <w:p>
      <w:pPr/>
      <w:r>
        <w:t>Department of Information Science and Engineering, BMS Institute of Technology and Management, Yelahanka, Bengaluru, Karnataka 560119, India</w:t>
      </w:r>
    </w:p>
    <w:p>
      <w:pPr/>
      <w:r>
        <w:t>* Corresponding author. Email: tanya.deep@bmsit.res.in</w:t>
      </w:r>
    </w:p>
    <w:p>
      <w:pPr>
        <w:pStyle w:val="BodyText"/>
      </w:pPr>
      <w:r>
        <w:rPr>
          <w:b/>
        </w:rPr>
        <w:t>ARTICLE INFO</w:t>
      </w:r>
    </w:p>
    <w:p>
      <w:pPr/>
      <w:r>
        <w:rPr>
          <w:b/>
        </w:rPr>
        <w:t>Keywords:</w:t>
      </w:r>
    </w:p>
    <w:p>
      <w:pPr/>
      <w:r>
        <w:t>Geopolitical conflict forecasting</w:t>
      </w:r>
    </w:p>
    <w:p>
      <w:pPr/>
      <w:r>
        <w:t>Early-warning systems</w:t>
      </w:r>
    </w:p>
    <w:p>
      <w:pPr/>
      <w:r>
        <w:t>Multi-source data fusion</w:t>
      </w:r>
    </w:p>
    <w:p>
      <w:pPr/>
      <w:r>
        <w:t>Explainable AI (XAI)</w:t>
      </w:r>
    </w:p>
    <w:p>
      <w:pPr/>
      <w:r>
        <w:t>Decision support systems</w:t>
      </w:r>
    </w:p>
    <w:p>
      <w:pPr/>
      <w:r>
        <w:t>Spatial-temporal modeling</w:t>
      </w:r>
    </w:p>
    <w:p>
      <w:pPr>
        <w:pStyle w:val="BodyText"/>
      </w:pPr>
      <w:r>
        <w:rPr>
          <w:b/>
        </w:rPr>
        <w:t>ABSTRACT</w:t>
      </w:r>
    </w:p>
    <w:p>
      <w:pPr/>
      <w:r>
        <w:t>Geopolitical conflict forecasting has long been dominated by reactive databases that catalog violence retrospectively, rather than preemptively alerting decision-makers to the conditions that precede escalation. While recent machine learning and temporal graph neural network architectures have shown promise in predicting isolated events, they often function as uninterpretable "black boxes" and fail to integrate heterogeneous narrative, economic, and diplomatic signals. This paper presents ARES, a Conflict Escalation Early-Warning System designed to continuously track subnational geopolitical tension. ARES fuses open-source political event data, news media sentiment, quarterly macroeconomic indicators, and diplomatic/military signaling into a unified regional risk score using a standardized geographical linking key (Region_Key). The framework is implemented as a modular monolith featuring a parallel asynchronous API ingestion pipeline, a spatial-temporal database layer powered by PostgreSQL and PostGIS, and a layered machine learning pipeline that prioritizes explainability by defaulting to interpretable statistical and tree-based baselines. ARES is explicitly designed as a decision-support system, incorporating de-escalation markers to prevent confirmation bias and enforcing source traceability by attaching direct factor breakdowns and evidence links to every risk flag. Rigorous evaluation of the system is currently underway using retrospective historical backtesting on documented conflict cases to measure warning lead times and false-positive rates prior to deployment.</w:t>
      </w:r>
    </w:p>
    <w:p>
      <w:pPr>
        <w:pStyle w:val="BodyText"/>
      </w:pPr>
      <w:r>
        <w:rPr>
          <w:b/>
        </w:rPr>
        <w:t>GRAPHICAL ABSTRACT</w:t>
      </w:r>
    </w:p>
    <w:p>
      <w:pPr>
        <w:pStyle w:val="BodyText"/>
      </w:pPr>
      <w:r>
        <w:t>A visual schematic outlining the ARES workflow: (1) Parallel asynchronous data ingestion from external APIs (ACLED, GDELT, NewsAPI, World Bank/IMF); (2) Spatial-temporal preprocessing and canonical Region_Key mapping in PostgreSQL/PostGIS; (3) Feature engineering of rolling indicators (event acceleration, sentiment volatility, protest ratio, economic stress, and diplomatic silence); (4) Layered machine learning modeling and explainability attribution; and (5) Web-based analyst dashboard serving risk tiers, historical backtesting metrics, and traceable source evidence.</w:t>
      </w:r>
    </w:p>
    <w:p>
      <w:pPr>
        <w:pStyle w:val="BodyText"/>
      </w:pPr>
      <w:r>
        <w:rPr>
          <w:b/>
        </w:rPr>
        <w:t>POLICY &amp; EARLY-WARNING SIGNIFICANCE BOX</w:t>
      </w:r>
    </w:p>
    <w:p>
      <w:pPr>
        <w:pStyle w:val="ListParagraph"/>
      </w:pPr>
      <w:r>
        <w:rPr>
          <w:b/>
        </w:rPr>
        <w:t>What is already known on this topic:</w:t>
      </w:r>
    </w:p>
    <w:p>
      <w:pPr>
        <w:pStyle w:val="ListParagraph"/>
      </w:pPr>
      <w:r>
        <w:t>• Geopolitical conflict forecasting systems are typically reactive, compiling violence databases after events occur rather than modeling early indicators.</w:t>
      </w:r>
    </w:p>
    <w:p>
      <w:pPr>
        <w:pStyle w:val="ListParagraph"/>
      </w:pPr>
      <w:r>
        <w:t>• Modern predictive machine learning models are often black-boxes that lack transparency, making their outputs difficult for security and policy analysts to trust.</w:t>
      </w:r>
    </w:p>
    <w:p>
      <w:pPr>
        <w:pStyle w:val="ListParagraph"/>
      </w:pPr>
      <w:r>
        <w:rPr>
          <w:b/>
        </w:rPr>
        <w:t>What this study adds:</w:t>
      </w:r>
    </w:p>
    <w:p>
      <w:pPr>
        <w:pStyle w:val="ListParagraph"/>
      </w:pPr>
      <w:r>
        <w:t>• ARES, a reproducible open-source early-warning system that fuses physical, narrative, economic, and diplomatic signals under a unified regional lookup.</w:t>
      </w:r>
    </w:p>
    <w:p>
      <w:pPr>
        <w:pStyle w:val="ListParagraph"/>
      </w:pPr>
      <w:r>
        <w:t>• An explainable-by-design framework that attaches localized feature attributions and direct source links to every risk score for analyst validation.</w:t>
      </w:r>
    </w:p>
    <w:p>
      <w:pPr>
        <w:pStyle w:val="BodyText"/>
      </w:pPr>
      <w:r>
        <w:rPr>
          <w:b/>
        </w:rPr>
        <w:t>Abbreviations</w:t>
      </w:r>
    </w:p>
    <w:p>
      <w:pPr>
        <w:pStyle w:val="BodyText"/>
      </w:pPr>
      <w:r>
        <w:t>ACLED: Armed Conflict Location &amp; Event Data Project; ARES: Conflict Escalation Early-Warning System; ECE: Expected Calibration Error; GDELT: Global Database of Events, Language, and Tone; GNN: Graph Neural Network; ML: Machine Learning; NLP: Natural Language Processing; PostGIS: Spatial Extension for PostgreSQL; XAI: Explainable Artificial Intelligence.</w:t>
      </w:r>
    </w:p>
    <w:p>
      <w:pPr>
        <w:pStyle w:val="Heading1"/>
      </w:pPr>
      <w:r>
        <w:t>1. Introduction</w:t>
      </w:r>
    </w:p>
    <w:p>
      <w:pPr>
        <w:pStyle w:val="BodyText"/>
      </w:pPr>
      <w:r>
        <w:t>Armed conflicts and civil unrest represent some of the most destabilizing forces in the modern global landscape, resulting in severe humanitarian crises, economic devastation, and long-term societal fracturing. Traditionally, conflict monitoring has relied on manual qualitative analysis by intelligence specialists and retrospective event logging by academic databases. While repositories such as the Armed Conflict Location &amp; Event Data Project (ACLED) and the Global Database of Events, Language, and Tone (GDELT) compile invaluable historical records, they are fundamentally reactive. These tools catalog violence after it has occurred, leaving policymakers and humanitarian organizations in a position of retrospective response rather than proactive prevention.</w:t>
      </w:r>
    </w:p>
    <w:p>
      <w:pPr>
        <w:pStyle w:val="BodyText"/>
      </w:pPr>
      <w:r>
        <w:t>To bridge this gap, computational social science and artificial intelligence have increasingly turned to conflict forecasting models. However, current predictive systems exhibit critical limitations. First, existing approaches typically predict isolated violent events in space and time rather than tracking the continuous, gradual transition from stability to tension, and ultimately to active conflict. Second, state-of-the-art forecasting models—frequently based on deep neural networks, recurrent architectures, or temporal graph networks—are highly complex and lack explainability. In high-stakes geopolitical decision-making, a risk alert generated by an uninterpretable model cannot be validated or trusted by human analysts. If the system fails to explain the underlying drivers of a warning or provide a traceable evidence trail, it remains practically unusable.</w:t>
      </w:r>
    </w:p>
    <w:p>
      <w:pPr>
        <w:pStyle w:val="BodyText"/>
      </w:pPr>
      <w:r>
        <w:t>Furthermore, conflict escalation is a multi-dimensional phenomenon. It rarely occurs in a vacuum; rather, it is preceded by a combination of accelerating localized clashes, polarizing media narratives, structural economic decay (e.g., hyperinflation, rising unemployment), and diplomatic breakdowns. Fusing these highly heterogeneous, multi-source data streams—which vary in temporal resolution, spatial granularity, and data formats—remains a major technical challenge. There is a clear need for an integrated, open-source, and explainable platform that aggregates event records, media sentiment, economic indices, and diplomatic signaling into a coherent subnational early-warning system.</w:t>
      </w:r>
    </w:p>
    <w:p>
      <w:pPr>
        <w:pStyle w:val="BodyText"/>
      </w:pPr>
      <w:r>
        <w:t>Additionally, ethical considerations dictate that early-warning systems must be human-centered. Deep learning models trained on Western-centric media corpora frequently misclassify regional political rhetoric, introducing severe geographic and cultural biases. A system that autonomously triggers policy recommendations or lacks mechanisms to model de-escalation runs the risk of generating high false-alarm rates, leading to alarm fatigue or pre-emptive actions that inadvertently exacerbate tensions. Consequently, early-warning frameworks must serve strictly as decision-support tools, maintaining a human-in-the-loop design where predictions are fully traceable, source-linked, and balanced by de-escalation indicators.</w:t>
      </w:r>
    </w:p>
    <w:p>
      <w:pPr>
        <w:pStyle w:val="BodyText"/>
      </w:pPr>
      <w:r>
        <w:t>Motivated by these requirements, this paper introduces ARES: Conflict Escalation Early-Warning System. ARES is an explainable, multi-source data fusion framework that tracks subnational conflict escalation trends in near-real time. The primary contributions of this work are summarized as follows: (1) We design a unified geographic referencing framework utilizing a canonical Region_Key to link disparate political, narrative, economic, and diplomatic datasets without relying on noisy point-to-point coordinate joins. (2) We propose a layered modeling architecture that prioritizes interpretability, utilizing statistical baselines and tree-based classifiers that yield local feature importances and direct source-attribution links for every alert. (3) We implement a robust, modular monolith system design featuring parallel asynchronous data fetching, a PostGIS-enabled spatial-temporal database, and an interactive analyst dashboard with zoom-and-drill capabilities. (4) We establish a standardized validation methodology based on historical backtesting, evaluating the system's lead time and false-positive rates against documented historical escalation peaks.</w:t>
      </w:r>
    </w:p>
    <w:p>
      <w:pPr>
        <w:pStyle w:val="Heading1"/>
      </w:pPr>
      <w:r>
        <w:t>2. Related Work</w:t>
      </w:r>
    </w:p>
    <w:p>
      <w:pPr>
        <w:pStyle w:val="BodyText"/>
      </w:pPr>
      <w:r>
        <w:rPr>
          <w:b/>
        </w:rPr>
        <w:t>2.1 Conflict Forecasting and Political Violence</w:t>
      </w:r>
    </w:p>
    <w:p>
      <w:pPr>
        <w:pStyle w:val="BodyText"/>
      </w:pPr>
      <w:r>
        <w:t>Early quantitative conflict forecasting relied heavily on low-resolution statistical models and macro-level structural covariates, such as gross domestic product (GDP) and population size. A major milestone in modern conflict forecasting was the creation of the subnational Political Violence Early-Warning System (ViEWS) by Hegre et al. [1], which introduced an ensemble machine learning framework to forecast monthly conflict probabilities at the country and grid-cell levels (using PRIO-grid definitions). ViEWS demonstrated the utility of combining historical conflict patterns with structural covariates to generate medium-to-long-range forecasts [2, 3]. Complementing these grid-based approaches, researchers have leveraged event databases to extract short-term predictive signals. For instance, Brandt et al. [4] developed Bayesian spatio-temporal models, and Ward et al. [5] applied random forests to the Integrated Crisis Early Warning System (ICEWS) data, illustrating that localized event patterns carry strong short-term predictive value. In parallel, Muchlinski et al. [6] compared random forests against traditional logistic regression models on highly imbalanced civil war datasets, highlighting the critical importance of handling class imbalance to avoid high false-negative rates in rare-event modeling. These studies highlight the foundational role of the ACLED database introduced by Raleigh et al. [7], which serves as a major source of ground-truth conflict event data.</w:t>
      </w:r>
    </w:p>
    <w:p>
      <w:pPr>
        <w:pStyle w:val="BodyText"/>
      </w:pPr>
      <w:r>
        <w:rPr>
          <w:b/>
        </w:rPr>
        <w:t>2.2 Deep Learning and Graph-Based Event Forecasting</w:t>
      </w:r>
    </w:p>
    <w:p>
      <w:pPr>
        <w:pStyle w:val="BodyText"/>
      </w:pPr>
      <w:r>
        <w:t>With the advent of deep learning, researchers have moved beyond tabular models to model relational and temporal interactions. Recent work has increasingly focused on temporal knowledge graphs and graph neural networks (GNNs) to model the interactions between geopolitical actors, locations, and events. Ma et al. [10] and Trivedi et al. [11] demonstrated that temporal GNNs can successfully predict future relational links between entities by tracking historical event paths. To model the dynamic evolution of spatial networks, Rossi et al. [12] introduced Temporal Graph Networks (TGNs), which maintain a node-level memory to capture continuous-time interactions. Similarly, Pareja et al. [13] proposed EvolveGCN, which adapts graph convolutional network parameters over time using recurrent neural networks. In domain-specific applications, Campedelli et al. [14] applied LSTMs and temporal graphs to forecast terrorist target selection. For precursor detection, Hossain et al. [15] developed attention-based networks over GDELT streams [17] to identify early warning signals of geopolitical events. While these deep learning methods improve predictive accuracy, they represent highly opaque architectures. The attention weights or latent states are rarely user-facing or traceable to original sources, rendering them difficult for analysts to verify.</w:t>
      </w:r>
    </w:p>
    <w:p>
      <w:pPr>
        <w:pStyle w:val="BodyText"/>
      </w:pPr>
      <w:r>
        <w:rPr>
          <w:b/>
        </w:rPr>
        <w:t>2.3 Climate and Macroeconomic Factors in Conflict</w:t>
      </w:r>
    </w:p>
    <w:p>
      <w:pPr>
        <w:pStyle w:val="BodyText"/>
      </w:pPr>
      <w:r>
        <w:t>An independent literature focuses on the structural socio-economic drivers of political instability. Mach et al. [20] synthesized expert consensus on climate as a risk factor for armed conflict, establishing that environmental shocks primarily act as threat multipliers by disrupting local economies. Hsiang et al. [21] and Burke et al. [22] provided empirical evidence showing a non-linear relationship between climatic anomalies, economic production, and the risk of civil conflict. These findings justify the inclusion of macroeconomic stress variables—such as unemployment rates, gross domestic product (GDP) fluctuations, and sudden inflation spikes—as critical leading indicators of subnational instability.</w:t>
      </w:r>
    </w:p>
    <w:p>
      <w:pPr>
        <w:pStyle w:val="BodyText"/>
      </w:pPr>
      <w:r>
        <w:rPr>
          <w:b/>
        </w:rPr>
        <w:t>2.4 Temporal and Time-Series Modeling</w:t>
      </w:r>
    </w:p>
    <w:p>
      <w:pPr>
        <w:pStyle w:val="BodyText"/>
      </w:pPr>
      <w:r>
        <w:t>For subnational early-warning applications, predicting the future trajectory of risk requires advanced multivariate time-series forecasting. Lim et al. [25] introduced the Temporal Fusion Transformer (TFT), an attention-based architecture designed for multi-horizon forecasting that incorporates specialized components to select relevant features and suppress noise. For probabilistic forecasting, Salinas et al. [26] proposed DeepAR, an autoregressive recurrent network that estimates probability distributions over future values, which is particularly suited for tracking rare, volatile event counts. Additionally, Zerveas et al. [27] demonstrated that unsupervised pre-training of multivariate time-series transformers can capture complex temporal dependencies in sparse data contexts, providing a candidate upgrade path for early-warning time-series modules.</w:t>
      </w:r>
    </w:p>
    <w:p>
      <w:pPr>
        <w:pStyle w:val="BodyText"/>
      </w:pPr>
      <w:r>
        <w:rPr>
          <w:b/>
        </w:rPr>
        <w:t>2.5 Explainable and Causal AI</w:t>
      </w:r>
    </w:p>
    <w:p>
      <w:pPr>
        <w:pStyle w:val="BodyText"/>
      </w:pPr>
      <w:r>
        <w:t>Given the high stakes of geopolitical decision-support, early-warning systems must move beyond correlation-based predictions toward explainable and causally grounded models. Schölkopf et al. [30] argued that robust AI requires causal representation learning to generalize across out-of-distribution environments, a common challenge in shifting political climates. Athey and Imbens [31] detailed machine learning methods for estimating heterogeneous treatment effects, establishing principles for decomposing model outputs into distinct, interpretable causal drivers. In the context of early warning, these methods provide the theoretical foundation for local feature attribution techniques, ensuring that every alert is accompanied by a mathematically sound breakdown of its contributing factors.</w:t>
      </w:r>
    </w:p>
    <w:p>
      <w:pPr>
        <w:pStyle w:val="BodyText"/>
      </w:pPr>
      <w:r>
        <w:rPr>
          <w:b/>
        </w:rPr>
        <w:t>2.6 Comparative Positioning</w:t>
      </w:r>
    </w:p>
    <w:p>
      <w:pPr>
        <w:pStyle w:val="BodyText"/>
      </w:pPr>
      <w:r>
        <w:t>Table 1 outlines the comparative positioning of ARES against major existing conflict forecasting and prediction systems in the literature, evaluating them along the dimensions of core modeling approach, explainability level, data fusion breadth, and the specific limitations addressed by our proposed framework.</w:t>
      </w:r>
    </w:p>
    <w:p>
      <w:pPr>
        <w:pStyle w:val="BodyText"/>
      </w:pPr>
      <w:r>
        <w:rPr>
          <w:i/>
        </w:rPr>
        <w:t>Table 1. Comparative positioning of ARES against existing conflict forecasting frameworks.</w:t>
      </w:r>
    </w:p>
    <w:tbl>
      <w:tblPr>
        <w:tblW w:type="auto" w:w="0"/>
        <w:tblLook w:firstColumn="1" w:firstRow="1" w:lastColumn="0" w:lastRow="0" w:noHBand="0" w:noVBand="1" w:val="04A0"/>
      </w:tblPr>
      <w:tblGrid>
        <w:gridCol w:w="1895"/>
        <w:gridCol w:w="1895"/>
        <w:gridCol w:w="1895"/>
        <w:gridCol w:w="1895"/>
        <w:gridCol w:w="1895"/>
      </w:tblGrid>
      <w:tr>
        <w:tc>
          <w:tcPr>
            <w:tcW w:type="dxa" w:w="1895"/>
          </w:tcPr>
          <w:p>
            <w:r>
              <w:rPr>
                <w:b/>
              </w:rPr>
              <w:t>System / Work</w:t>
            </w:r>
          </w:p>
        </w:tc>
        <w:tc>
          <w:tcPr>
            <w:tcW w:type="dxa" w:w="1895"/>
          </w:tcPr>
          <w:p>
            <w:r>
              <w:rPr>
                <w:b/>
              </w:rPr>
              <w:t>Core Modeling Approach</w:t>
            </w:r>
          </w:p>
        </w:tc>
        <w:tc>
          <w:tcPr>
            <w:tcW w:type="dxa" w:w="1895"/>
          </w:tcPr>
          <w:p>
            <w:r>
              <w:rPr>
                <w:b/>
              </w:rPr>
              <w:t>Explainability Level</w:t>
            </w:r>
          </w:p>
        </w:tc>
        <w:tc>
          <w:tcPr>
            <w:tcW w:type="dxa" w:w="1895"/>
          </w:tcPr>
          <w:p>
            <w:r>
              <w:rPr>
                <w:b/>
              </w:rPr>
              <w:t>Data Fusion Breadth</w:t>
            </w:r>
          </w:p>
        </w:tc>
        <w:tc>
          <w:tcPr>
            <w:tcW w:type="dxa" w:w="1895"/>
          </w:tcPr>
          <w:p>
            <w:r>
              <w:rPr>
                <w:b/>
              </w:rPr>
              <w:t>Primary Limitations Addressed</w:t>
            </w:r>
          </w:p>
        </w:tc>
      </w:tr>
      <w:tr>
        <w:tc>
          <w:tcPr>
            <w:tcW w:type="dxa" w:w="1895"/>
          </w:tcPr>
          <w:p>
            <w:r>
              <w:t>ViEWS (Hegre et al. [1])</w:t>
            </w:r>
          </w:p>
        </w:tc>
        <w:tc>
          <w:tcPr>
            <w:tcW w:type="dxa" w:w="1895"/>
          </w:tcPr>
          <w:p>
            <w:r>
              <w:t>Ensemble machine learning on UCDP/PRIO data at country/grid-cell level</w:t>
            </w:r>
          </w:p>
        </w:tc>
        <w:tc>
          <w:tcPr>
            <w:tcW w:type="dxa" w:w="1895"/>
          </w:tcPr>
          <w:p>
            <w:r>
              <w:t>Low to Medium (Model-level feature importances, not per-prediction)</w:t>
            </w:r>
          </w:p>
        </w:tc>
        <w:tc>
          <w:tcPr>
            <w:tcW w:type="dxa" w:w="1895"/>
          </w:tcPr>
          <w:p>
            <w:r>
              <w:t>Conflict event records and structural covariates</w:t>
            </w:r>
          </w:p>
        </w:tc>
        <w:tc>
          <w:tcPr>
            <w:tcW w:type="dxa" w:w="1895"/>
          </w:tcPr>
          <w:p>
            <w:r>
              <w:t>Lacks real-time narrative or news-sentiment fusion; lacks interactive drill-down UI and local alert tracebacks.</w:t>
            </w:r>
          </w:p>
        </w:tc>
      </w:tr>
      <w:tr>
        <w:tc>
          <w:tcPr>
            <w:tcW w:type="dxa" w:w="1895"/>
          </w:tcPr>
          <w:p>
            <w:r>
              <w:t>ICEWS RF Models (Ward et al. [5])</w:t>
            </w:r>
          </w:p>
        </w:tc>
        <w:tc>
          <w:tcPr>
            <w:tcW w:type="dxa" w:w="1895"/>
          </w:tcPr>
          <w:p>
            <w:r>
              <w:t>Random forest classifiers trained on subnational event databases</w:t>
            </w:r>
          </w:p>
        </w:tc>
        <w:tc>
          <w:tcPr>
            <w:tcW w:type="dxa" w:w="1895"/>
          </w:tcPr>
          <w:p>
            <w:r>
              <w:t>Low (Global feature importances; no local predictions explained)</w:t>
            </w:r>
          </w:p>
        </w:tc>
        <w:tc>
          <w:tcPr>
            <w:tcW w:type="dxa" w:w="1895"/>
          </w:tcPr>
          <w:p>
            <w:r>
              <w:t>Political event records only</w:t>
            </w:r>
          </w:p>
        </w:tc>
        <w:tc>
          <w:tcPr>
            <w:tcW w:type="dxa" w:w="1895"/>
          </w:tcPr>
          <w:p>
            <w:r>
              <w:t>No source-level evidence trails; high vulnerability to event coding noise due to lack of narrative validation.</w:t>
            </w:r>
          </w:p>
        </w:tc>
      </w:tr>
      <w:tr>
        <w:tc>
          <w:tcPr>
            <w:tcW w:type="dxa" w:w="1895"/>
          </w:tcPr>
          <w:p>
            <w:r>
              <w:t>GDELT Attention Models (Hossain et al. [15])</w:t>
            </w:r>
          </w:p>
        </w:tc>
        <w:tc>
          <w:tcPr>
            <w:tcW w:type="dxa" w:w="1895"/>
          </w:tcPr>
          <w:p>
            <w:r>
              <w:t>Deep attention networks applied to raw event and media streams</w:t>
            </w:r>
          </w:p>
        </w:tc>
        <w:tc>
          <w:tcPr>
            <w:tcW w:type="dxa" w:w="1895"/>
          </w:tcPr>
          <w:p>
            <w:r>
              <w:t>Low (Attention weights are latent and not translated to user-facing evidence)</w:t>
            </w:r>
          </w:p>
        </w:tc>
        <w:tc>
          <w:tcPr>
            <w:tcW w:type="dxa" w:w="1895"/>
          </w:tcPr>
          <w:p>
            <w:r>
              <w:t>Event mentions and localized media tone</w:t>
            </w:r>
          </w:p>
        </w:tc>
        <w:tc>
          <w:tcPr>
            <w:tcW w:type="dxa" w:w="1895"/>
          </w:tcPr>
          <w:p>
            <w:r>
              <w:t>Lacks integration of diplomatic and macroeconomic signals; not designed for decision-support or analyst interaction.</w:t>
            </w:r>
          </w:p>
        </w:tc>
      </w:tr>
      <w:tr>
        <w:tc>
          <w:tcPr>
            <w:tcW w:type="dxa" w:w="1895"/>
          </w:tcPr>
          <w:p>
            <w:r>
              <w:t>ARES (This Work)</w:t>
            </w:r>
          </w:p>
        </w:tc>
        <w:tc>
          <w:tcPr>
            <w:tcW w:type="dxa" w:w="1895"/>
          </w:tcPr>
          <w:p>
            <w:r>
              <w:t>Layered architecture: interpretable baselines with deep NLP sentiment integration</w:t>
            </w:r>
          </w:p>
        </w:tc>
        <w:tc>
          <w:tcPr>
            <w:tcW w:type="dxa" w:w="1895"/>
          </w:tcPr>
          <w:p>
            <w:r>
              <w:t>High (Mandatory per-prediction factor breakdown and source-level URL trace)</w:t>
            </w:r>
          </w:p>
        </w:tc>
        <w:tc>
          <w:tcPr>
            <w:tcW w:type="dxa" w:w="1895"/>
          </w:tcPr>
          <w:p>
            <w:r>
              <w:t>Fuses event, narrative, macroeconomic, and diplomatic signals</w:t>
            </w:r>
          </w:p>
        </w:tc>
        <w:tc>
          <w:tcPr>
            <w:tcW w:type="dxa" w:w="1895"/>
          </w:tcPr>
          <w:p>
            <w:r>
              <w:t>Combines broad multi-source data fusion with explainability-first design and an analyst-facing dashboard.</w:t>
            </w:r>
          </w:p>
        </w:tc>
      </w:tr>
    </w:tbl>
    <w:p>
      <w:pPr>
        <w:pStyle w:val="BodyText"/>
      </w:pPr>
    </w:p>
    <w:p>
      <w:pPr>
        <w:pStyle w:val="Heading1"/>
      </w:pPr>
      <w:r>
        <w:t>3. Research Gap</w:t>
      </w:r>
    </w:p>
    <w:p>
      <w:pPr>
        <w:pStyle w:val="BodyText"/>
      </w:pPr>
      <w:r>
        <w:t>Despite significant progress in conflict forecasting, a synthesis of the literature reveals three persistent research gaps that limit the operational utility of current systems:</w:t>
      </w:r>
    </w:p>
    <w:p>
      <w:pPr>
        <w:pStyle w:val="BodyText"/>
      </w:pPr>
      <w:r>
        <w:t>1. Reactive Event Focus vs. Continuous Escalation Tracking: Most existing frameworks focus on predicting the occurrence of binary conflict events (e.g., whether a conflict will occur in a given grid cell next month). They fail to model conflict as a continuous, dynamic process of escalation. Conflict escalation is characterized by precursor phases—such as event acceleration, shifts in media tone, and diplomatic breakdowns—that occur before physical violence breaks out. Existing tools lack the capacity to continuously track these multi-dimensional transition states.</w:t>
      </w:r>
    </w:p>
    <w:p>
      <w:pPr>
        <w:pStyle w:val="BodyText"/>
      </w:pPr>
      <w:r>
        <w:t>2. The Trade-off between Predictive Power and Explainability: Recent deep learning and graph-based approaches achieve high predictive accuracy at the cost of interpretability. In high-stakes geopolitical decision-making, a "black box" alert that does not explain why a region is flagged or fail to provide a traceable source trail is ignored by analysts. There is a lack of conflict early-warning frameworks that enforce explainability as a core architectural constraint (e.g., NFR-03), ensuring that every risk score is backed by a local factor breakdown and verifiable source links.</w:t>
      </w:r>
    </w:p>
    <w:p>
      <w:pPr>
        <w:pStyle w:val="BodyText"/>
      </w:pPr>
      <w:r>
        <w:t>3. Absence of Fused, Multi-Source Heterogeneous Signal Integration: Existing systems typically rely on a single primary data source (e.g., only ACLED events or only GDELT news tone). Conflict dynamics are inherently multi-source, driven by interactions between physical clashes, media narratives, macroeconomic indicators, and diplomatic signals. Prior systems lack a unified data integration layer capable of standardizing and fusing these highly diverse spatial-temporal datasets into a single, cohesive subnational analysis window.</w:t>
      </w:r>
    </w:p>
    <w:p>
      <w:pPr>
        <w:pStyle w:val="BodyText"/>
      </w:pPr>
      <w:r>
        <w:t>ARES is specifically engineered to address these gaps by introducing a multi-source data fusion framework that enforces explainability by design, linking all data streams through a standardized region lookup and providing a clear, source-traceable decision-support dashboard for human analysts.</w:t>
      </w:r>
    </w:p>
    <w:p>
      <w:pPr>
        <w:pStyle w:val="Heading1"/>
      </w:pPr>
      <w:r>
        <w:t>4. System Architecture</w:t>
      </w:r>
    </w:p>
    <w:p>
      <w:pPr>
        <w:pStyle w:val="BodyText"/>
      </w:pPr>
      <w:r>
        <w:rPr>
          <w:b/>
        </w:rPr>
        <w:t>4.1 Modular Monolith Pattern</w:t>
      </w:r>
    </w:p>
    <w:p>
      <w:pPr>
        <w:pStyle w:val="BodyText"/>
      </w:pPr>
      <w:r>
        <w:t>ARES is designed using the modular monolith architectural pattern. Rather than deploying independent microservices, which introduce complex service discovery, network latency, and significant DevOps overhead, all core components run within a single application process. However, the system enforces strict logical separation between modules: the Ingestion Module (/ingestion) manages scheduled REST API connections and parses raw JSON/CSV data; the Storage Module (/storage) handles database connections, query building, and data persistence; the Feature Module (/features) transforms raw events and indicators into rolling-window spatial-temporal features; the Modeling Module (/model) manages NLP sentiment extraction and the tabular escalation risk classifier; the API Module (/api) exposes lightweight endpoints to serve the dashboard; and the Frontend Module (/frontend) provides the web-based analyst interface and interactive maps. This design allows a small engineering team to develop and debug modules locally while maintaining a clean separation of concerns.</w:t>
      </w:r>
    </w:p>
    <w:p>
      <w:pPr>
        <w:pStyle w:val="BodyText"/>
      </w:pPr>
      <w:r>
        <w:rPr>
          <w:b/>
        </w:rPr>
        <w:t>4.2 Asynchronous Ingestion Pipeline</w:t>
      </w:r>
    </w:p>
    <w:p>
      <w:pPr>
        <w:pStyle w:val="BodyText"/>
      </w:pPr>
      <w:r>
        <w:t>The data ingestion pipeline must handle concurrent requests to multiple external APIs (ACLED, GDELT, NewsAPI, and World Bank/IMF) without blocking. To achieve this, the ingestion module is implemented using Python's asynchronous features (asyncio and httpx). A central coordinator triggers ingestion cycles on a scheduled cron cadence (every 30 to 60 minutes). During a cycle, separate asynchronous fetchers execute in parallel. The pipeline manages rate limits and transient errors using an exponential backoff policy (starting at 2 seconds, doubling up to 3 retries). To prevent redundant processing and API exhaustion, raw responses are hashed and verified against an in-memory and database-level staging cache. Only new or updated raw records are parsed, structured, and pushed to the database.</w:t>
      </w:r>
    </w:p>
    <w:p>
      <w:pPr>
        <w:pStyle w:val="BodyText"/>
      </w:pPr>
      <w:r>
        <w:rPr>
          <w:b/>
        </w:rPr>
        <w:t>4.3 Geospatial Database Model and Region_Key Design</w:t>
      </w:r>
    </w:p>
    <w:p>
      <w:pPr>
        <w:pStyle w:val="BodyText"/>
      </w:pPr>
      <w:r>
        <w:t>The foundation of the ARES data store is PostgreSQL equipped with the PostGIS spatial extension. Geopolitical data sources utilize incompatible geographic definitions—some report latitude and longitude coordinates, others report administrative names, while economic reports use country ISO codes. To resolve this, ARES implements a canonical Region_Key design. The spatial database maintains a master lookup table, regions, which stores standardized polygon boundaries for geopolitical zones. During the data cleaning step, any incoming record is mapped to a canonical Region_Key using spatial containment joins (e.g., verifying if a latitude/longitude coordinate falls within a region polygon via PostGIS's ST_Contains) or string-matching lookups. All subsequent database operations, feature computations, and modeling steps query data using this Region_Key, avoiding expensive point-to-point spatial joins. To optimize query performance, composite indices are defined on (region_key, event_time) across all fact tables.</w:t>
      </w:r>
    </w:p>
    <w:p>
      <w:pPr>
        <w:pStyle w:val="BodyText"/>
      </w:pPr>
      <w:r>
        <w:rPr>
          <w:b/>
        </w:rPr>
        <w:t>4.4 Feature Engineering Pipeline</w:t>
      </w:r>
    </w:p>
    <w:p>
      <w:pPr>
        <w:pStyle w:val="BodyText"/>
      </w:pPr>
      <w:r>
        <w:t>The feature engineering module acts as a scheduled batch process that transforms raw transactional records into uniform spatial-temporal tensors. Features are computed over rolling temporal windows (typically 7-day, 14-day, and 30-day horizons) per Region_Key. The core feature set includes: (1) Event Acceleration, which measures the week-over-week change in localized conflict event counts; (2) Sentiment Volatility, which captures polarization and narrative shifts by computing the standard deviation of news tone scores over a trailing 14-day window; (3) Protest-to-Violence Ratio, which tracks the transition from peaceful civil unrest to violent conflict over a rolling 30-day window; (4) Economic Stress Gradient, which integrates long-term economic vulnerability by calculating quarter-over-quarter deltas in inflation, GDP growth, and unemployment respectively, weighted by literature-derived coefficients; and (5) Diplomatic Silence Duration, which computes the number of days elapsed since the last recorded positive bilateral or multilateral diplomatic interaction in a region.</w:t>
      </w:r>
    </w:p>
    <w:p>
      <w:pPr>
        <w:pStyle w:val="BodyText"/>
      </w:pPr>
      <w:r>
        <w:rPr>
          <w:b/>
        </w:rPr>
        <w:t>4.5 Layered Machine Learning Pipeline</w:t>
      </w:r>
    </w:p>
    <w:p>
      <w:pPr>
        <w:pStyle w:val="BodyText"/>
      </w:pPr>
      <w:r>
        <w:t>ARES employs a layered modeling strategy to balance predictive performance with computational efficiency and explainability. Simple, highly interpretable models are prioritized, and complexity is added only when backtesting shows a statistically significant improvement: Tier 1 (Tabular Classifier): A Random Forest classifier serves as the baseline model to predict the escalation risk tier (Green: 0-33, Amber: 34-66, Red: 67-100). The model uses class-weighted training to address the severe historical imbalance between stable and escalating periods. If higher predictive power is required, the pipeline escalates to Gradient Boosted Trees (XGBoost/LightGBM). Tier 2 (Sentiment &amp; Narrative Head): A fine-tuned, lightweight DistilBERT or RoBERTa transformer model processes news headlines and article lead sentences to generate localized tone and threat flags. Running on standard CPU hardware, this model filters out irrelevant noise and extracts threat-specific narratives. Tier 3 (Short-Term Forecasting &amp; Anomaly Detection): A statistical z-score baseline tracks short-term feature trajectories. If a region's features deviate significantly from their historical rolling average, the system flags an anomaly. Advanced architectures (e.g., LSTMs or Temporal Fusion Transformers) are reserved as future upgrade paths. Model inference runs on a hybrid schedule: a batch job computes risk scores hourly for all active regions, while an on-demand endpoint allows analysts to trigger immediate recalculations for a specific region during crisis monitoring.</w:t>
      </w:r>
    </w:p>
    <w:p>
      <w:pPr>
        <w:pStyle w:val="BodyText"/>
      </w:pPr>
      <w:r>
        <w:rPr>
          <w:b/>
        </w:rPr>
        <w:t>4.6 Explainability Layer</w:t>
      </w:r>
    </w:p>
    <w:p>
      <w:pPr>
        <w:pStyle w:val="BodyText"/>
      </w:pPr>
      <w:r>
        <w:t>In compliance with explainability requirements (NFR-03), ARES does not output raw, unexplained risk scores. Every risk score computed by the modeling pipeline is passed to an explainability layer. For tree-based classifiers, local feature contributions are extracted to identify the specific features driving the prediction (e.g., showing that a Red alert in a region is driven 60% by Event Acceleration and 30% by Sentiment Volatility). These numerical attributions are mapped to human-readable explanations in the dashboard. Furthermore, the system links the alert to its original source evidence. The database stores the primary keys and external URLs of the underlying articles, events, and reports used to compute the features. When an analyst selects a risk score, the interface displays the specific raw events and news articles that triggered the alert, enabling rapid verification.</w:t>
      </w:r>
    </w:p>
    <w:p>
      <w:pPr>
        <w:pStyle w:val="BodyText"/>
      </w:pPr>
      <w:r>
        <w:rPr>
          <w:b/>
        </w:rPr>
        <w:t>4.7 Dashboard and Deployment Architecture</w:t>
      </w:r>
    </w:p>
    <w:p>
      <w:pPr>
        <w:pStyle w:val="BodyText"/>
      </w:pPr>
      <w:r>
        <w:t>The analyst interface is built as a single-page application that polls the API layer every 60 seconds, avoiding the overhead of WebSockets since sub-second latency is not required. The frontend utilizes MapLibre and Plotly Mapbox for client-side rendering of interactive global heatmaps. Analysts can pan, zoom, and select specific regions to open a detail panel showing the 90-day risk trend, the local factor breakdown, and the traceable source evidence feed. The entire system is packaged using Docker Compose for local development and academic evaluation. The containerized deployment bundles the PostgreSQL/PostGIS database, the backend API server, the scheduler container running the periodic ingestion and feature extraction crons, and the frontend web server, ensuring consistency across environments.</w:t>
      </w:r>
    </w:p>
    <w:sectPr w:rsidR="006041F4" w:rsidRPr="006041F4" w:rsidSect="00A93E06">
      <w:headerReference w:type="default" r:id="rId19"/>
      <w:footerReference w:type="default" r:id="rId20"/>
      <w:type w:val="continuous"/>
      <w:pgSz w:w="10890" w:h="14860"/>
      <w:pgMar w:top="960" w:right="708" w:bottom="280" w:left="708" w:header="0" w:footer="8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9037D" w14:textId="77777777" w:rsidR="00705CB2" w:rsidRDefault="00705CB2">
      <w:r>
        <w:separator/>
      </w:r>
    </w:p>
  </w:endnote>
  <w:endnote w:type="continuationSeparator" w:id="0">
    <w:p w14:paraId="04B24024" w14:textId="77777777" w:rsidR="00705CB2" w:rsidRDefault="00705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1971" w14:textId="6D47AD46" w:rsidR="00776D3B" w:rsidRDefault="00A93E06">
    <w:pPr>
      <w:pStyle w:val="BodyText"/>
      <w:spacing w:before="0" w:line="14" w:lineRule="auto"/>
    </w:pPr>
    <w:r>
      <w:rPr>
        <w:noProof/>
      </w:rPr>
      <mc:AlternateContent>
        <mc:Choice Requires="wps">
          <w:drawing>
            <wp:anchor distT="0" distB="0" distL="0" distR="0" simplePos="0" relativeHeight="487411712" behindDoc="1" locked="0" layoutInCell="1" allowOverlap="1" wp14:anchorId="051FF97B" wp14:editId="182B81D2">
              <wp:simplePos x="0" y="0"/>
              <wp:positionH relativeFrom="page">
                <wp:posOffset>3161665</wp:posOffset>
              </wp:positionH>
              <wp:positionV relativeFrom="page">
                <wp:posOffset>8948420</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23C83B27" w14:textId="793C59C0" w:rsidR="00776D3B"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051FF97B" id="_x0000_t202" coordsize="21600,21600" o:spt="202" path="m,l,21600r21600,l21600,xe">
              <v:stroke joinstyle="miter"/>
              <v:path gradientshapeok="t" o:connecttype="rect"/>
            </v:shapetype>
            <v:shape id="Textbox 3" o:spid="_x0000_s1026" type="#_x0000_t202" style="position:absolute;margin-left:248.95pt;margin-top:704.6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" filled="f" stroked="f">
              <v:textbox inset="0,0,0,0">
                <w:txbxContent>
                  <w:p w14:paraId="23C83B27" w14:textId="793C59C0" w:rsidR="00776D3B"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0920C82" wp14:editId="330C858C">
              <wp:simplePos x="0" y="0"/>
              <wp:positionH relativeFrom="page">
                <wp:posOffset>480061</wp:posOffset>
              </wp:positionH>
              <wp:positionV relativeFrom="page">
                <wp:posOffset>8923020</wp:posOffset>
              </wp:positionV>
              <wp:extent cx="211836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167640"/>
                      </a:xfrm>
                      <a:prstGeom prst="rect">
                        <a:avLst/>
                      </a:prstGeom>
                    </wps:spPr>
                    <wps:txbx>
                      <w:txbxContent>
                        <w:p w14:paraId="1634E662" w14:textId="77777777" w:rsidR="00A93E06" w:rsidRDefault="00A93E06" w:rsidP="00A93E06">
                          <w:pPr>
                            <w:spacing w:before="34"/>
                            <w:ind w:left="20"/>
                            <w:rPr>
                              <w:i/>
                              <w:sz w:val="18"/>
                            </w:rPr>
                          </w:pPr>
                          <w:r>
                            <w:rPr>
                              <w:rFonts w:ascii="Arial MT"/>
                              <w:spacing w:val="-2"/>
                              <w:sz w:val="18"/>
                            </w:rPr>
                            <w:t>Tanya Deep:</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p w14:paraId="09713C02" w14:textId="0A95218D" w:rsidR="00776D3B" w:rsidRDefault="00776D3B">
                          <w:pPr>
                            <w:spacing w:before="34"/>
                            <w:ind w:left="20"/>
                            <w:rPr>
                              <w:i/>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0920C82" id="Textbox 2" o:spid="_x0000_s1027" type="#_x0000_t202" style="position:absolute;margin-left:37.8pt;margin-top:702.6pt;width:166.8pt;height:13.2pt;z-index:-15905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" filled="f" stroked="f">
              <v:textbox inset="0,0,0,0">
                <w:txbxContent>
                  <w:p w14:paraId="1634E662" w14:textId="77777777" w:rsidR="00A93E06" w:rsidRDefault="00A93E06" w:rsidP="00A93E06">
                    <w:pPr>
                      <w:spacing w:before="34"/>
                      <w:ind w:left="20"/>
                      <w:rPr>
                        <w:i/>
                        <w:sz w:val="18"/>
                      </w:rPr>
                    </w:pPr>
                    <w:r>
                      <w:rPr>
                        <w:rFonts w:ascii="Arial MT"/>
                        <w:spacing w:val="-2"/>
                        <w:sz w:val="18"/>
                      </w:rPr>
                      <w:t>Tanya Deep:</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p w14:paraId="09713C02" w14:textId="0A95218D" w:rsidR="00776D3B" w:rsidRDefault="00776D3B">
                    <w:pPr>
                      <w:spacing w:before="34"/>
                      <w:ind w:left="20"/>
                      <w:rPr>
                        <w:i/>
                        <w:sz w:val="18"/>
                      </w:rPr>
                    </w:pPr>
                  </w:p>
                </w:txbxContent>
              </v:textbox>
              <w10:wrap anchorx="page" anchory="page"/>
            </v:shape>
          </w:pict>
        </mc:Fallback>
      </mc:AlternateContent>
    </w:r>
    <w:r>
      <w:rPr>
        <w:noProof/>
      </w:rPr>
      <mc:AlternateContent>
        <mc:Choice Requires="wps">
          <w:drawing>
            <wp:anchor distT="0" distB="0" distL="0" distR="0" simplePos="0" relativeHeight="487410688" behindDoc="1" locked="0" layoutInCell="1" allowOverlap="1" wp14:anchorId="31855959" wp14:editId="6F335257">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BFBF2"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9117" w14:textId="06369BFF" w:rsidR="00776D3B" w:rsidRDefault="00A93E06">
    <w:pPr>
      <w:pStyle w:val="BodyText"/>
      <w:spacing w:before="0" w:line="14" w:lineRule="auto"/>
    </w:pPr>
    <w:r>
      <w:rPr>
        <w:noProof/>
      </w:rPr>
      <mc:AlternateContent>
        <mc:Choice Requires="wps">
          <w:drawing>
            <wp:anchor distT="0" distB="0" distL="0" distR="0" simplePos="0" relativeHeight="487413760" behindDoc="1" locked="0" layoutInCell="1" allowOverlap="1" wp14:anchorId="235ACBF3" wp14:editId="4DE962EF">
              <wp:simplePos x="0" y="0"/>
              <wp:positionH relativeFrom="page">
                <wp:posOffset>3164840</wp:posOffset>
              </wp:positionH>
              <wp:positionV relativeFrom="page">
                <wp:posOffset>8968740</wp:posOffset>
              </wp:positionV>
              <wp:extent cx="59245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 cy="165735"/>
                      </a:xfrm>
                      <a:prstGeom prst="rect">
                        <a:avLst/>
                      </a:prstGeom>
                    </wps:spPr>
                    <wps:txbx>
                      <w:txbxContent>
                        <w:p w14:paraId="7CAE7735" w14:textId="6FDFB3BD" w:rsidR="00776D3B" w:rsidRDefault="00000000">
                          <w:pPr>
                            <w:spacing w:before="14"/>
                            <w:ind w:left="20"/>
                            <w:rPr>
                              <w:rFonts w:ascii="Arial MT"/>
                              <w:sz w:val="18"/>
                            </w:rPr>
                          </w:pPr>
                          <w:r>
                            <w:rPr>
                              <w:rFonts w:ascii="Arial MT"/>
                              <w:sz w:val="18"/>
                            </w:rPr>
                            <w:t>Page</w:t>
                          </w:r>
                          <w:r>
                            <w:rPr>
                              <w:rFonts w:ascii="Arial MT"/>
                              <w:spacing w:val="-10"/>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2</w:t>
                          </w:r>
                          <w:r>
                            <w:rPr>
                              <w:rFonts w:ascii="Arial MT"/>
                              <w:sz w:val="18"/>
                            </w:rPr>
                            <w:fldChar w:fldCharType="end"/>
                          </w:r>
                        </w:p>
                      </w:txbxContent>
                    </wps:txbx>
                    <wps:bodyPr wrap="square" lIns="0" tIns="0" rIns="0" bIns="0" rtlCol="0">
                      <a:noAutofit/>
                    </wps:bodyPr>
                  </wps:wsp>
                </a:graphicData>
              </a:graphic>
            </wp:anchor>
          </w:drawing>
        </mc:Choice>
        <mc:Fallback>
          <w:pict>
            <v:shapetype w14:anchorId="235ACBF3" id="_x0000_t202" coordsize="21600,21600" o:spt="202" path="m,l,21600r21600,l21600,xe">
              <v:stroke joinstyle="miter"/>
              <v:path gradientshapeok="t" o:connecttype="rect"/>
            </v:shapetype>
            <v:shape id="Textbox 17" o:spid="_x0000_s1029" type="#_x0000_t202" style="position:absolute;margin-left:249.2pt;margin-top:706.2pt;width:46.65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" filled="f" stroked="f">
              <v:textbox inset="0,0,0,0">
                <w:txbxContent>
                  <w:p w14:paraId="7CAE7735" w14:textId="6FDFB3BD" w:rsidR="00776D3B" w:rsidRDefault="00000000">
                    <w:pPr>
                      <w:spacing w:before="14"/>
                      <w:ind w:left="20"/>
                      <w:rPr>
                        <w:rFonts w:ascii="Arial MT"/>
                        <w:sz w:val="18"/>
                      </w:rPr>
                    </w:pPr>
                    <w:r>
                      <w:rPr>
                        <w:rFonts w:ascii="Arial MT"/>
                        <w:sz w:val="18"/>
                      </w:rPr>
                      <w:t>Page</w:t>
                    </w:r>
                    <w:r>
                      <w:rPr>
                        <w:rFonts w:ascii="Arial MT"/>
                        <w:spacing w:val="-10"/>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2</w:t>
                    </w:r>
                    <w:r>
                      <w:rPr>
                        <w:rFonts w:ascii="Arial MT"/>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413248" behindDoc="1" locked="0" layoutInCell="1" allowOverlap="1" wp14:anchorId="4A5CAB98" wp14:editId="31B08C71">
              <wp:simplePos x="0" y="0"/>
              <wp:positionH relativeFrom="page">
                <wp:posOffset>480061</wp:posOffset>
              </wp:positionH>
              <wp:positionV relativeFrom="page">
                <wp:posOffset>8907780</wp:posOffset>
              </wp:positionV>
              <wp:extent cx="2057400"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7640"/>
                      </a:xfrm>
                      <a:prstGeom prst="rect">
                        <a:avLst/>
                      </a:prstGeom>
                    </wps:spPr>
                    <wps:txbx>
                      <w:txbxContent>
                        <w:p w14:paraId="044C92FB" w14:textId="77777777" w:rsidR="00A93E06" w:rsidRDefault="00A93E06" w:rsidP="00A93E06">
                          <w:pPr>
                            <w:spacing w:before="34"/>
                            <w:ind w:left="20"/>
                            <w:rPr>
                              <w:i/>
                              <w:sz w:val="18"/>
                            </w:rPr>
                          </w:pPr>
                          <w:r>
                            <w:rPr>
                              <w:rFonts w:ascii="Arial MT"/>
                              <w:spacing w:val="-2"/>
                              <w:sz w:val="18"/>
                            </w:rPr>
                            <w:t>Tanya Deep:</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p w14:paraId="3CB4F704" w14:textId="32B92852" w:rsidR="00776D3B" w:rsidRDefault="00776D3B">
                          <w:pPr>
                            <w:spacing w:before="34"/>
                            <w:ind w:left="20"/>
                            <w:rPr>
                              <w:i/>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A5CAB98" id="Textbox 16" o:spid="_x0000_s1030" type="#_x0000_t202" style="position:absolute;margin-left:37.8pt;margin-top:701.4pt;width:162pt;height:13.2pt;z-index:-15903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" filled="f" stroked="f">
              <v:textbox inset="0,0,0,0">
                <w:txbxContent>
                  <w:p w14:paraId="044C92FB" w14:textId="77777777" w:rsidR="00A93E06" w:rsidRDefault="00A93E06" w:rsidP="00A93E06">
                    <w:pPr>
                      <w:spacing w:before="34"/>
                      <w:ind w:left="20"/>
                      <w:rPr>
                        <w:i/>
                        <w:sz w:val="18"/>
                      </w:rPr>
                    </w:pPr>
                    <w:r>
                      <w:rPr>
                        <w:rFonts w:ascii="Arial MT"/>
                        <w:spacing w:val="-2"/>
                        <w:sz w:val="18"/>
                      </w:rPr>
                      <w:t>Tanya Deep:</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p w14:paraId="3CB4F704" w14:textId="32B92852" w:rsidR="00776D3B" w:rsidRDefault="00776D3B">
                    <w:pPr>
                      <w:spacing w:before="34"/>
                      <w:ind w:left="20"/>
                      <w:rPr>
                        <w:i/>
                        <w:sz w:val="18"/>
                      </w:rPr>
                    </w:pPr>
                  </w:p>
                </w:txbxContent>
              </v:textbox>
              <w10:wrap anchorx="page" anchory="page"/>
            </v:shape>
          </w:pict>
        </mc:Fallback>
      </mc:AlternateContent>
    </w:r>
    <w:r>
      <w:rPr>
        <w:noProof/>
      </w:rPr>
      <mc:AlternateContent>
        <mc:Choice Requires="wps">
          <w:drawing>
            <wp:anchor distT="0" distB="0" distL="0" distR="0" simplePos="0" relativeHeight="487412736" behindDoc="1" locked="0" layoutInCell="1" allowOverlap="1" wp14:anchorId="6C7576B3" wp14:editId="57E7EED6">
              <wp:simplePos x="0" y="0"/>
              <wp:positionH relativeFrom="page">
                <wp:posOffset>493204</wp:posOffset>
              </wp:positionH>
              <wp:positionV relativeFrom="page">
                <wp:posOffset>8898559</wp:posOffset>
              </wp:positionV>
              <wp:extent cx="592582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30D21" id="Graphic 15" o:spid="_x0000_s1026" style="position:absolute;margin-left:38.85pt;margin-top:700.65pt;width:466.6pt;height:.1pt;z-index:-15903744;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771B" w14:textId="77777777" w:rsidR="00705CB2" w:rsidRDefault="00705CB2">
      <w:r>
        <w:separator/>
      </w:r>
    </w:p>
  </w:footnote>
  <w:footnote w:type="continuationSeparator" w:id="0">
    <w:p w14:paraId="00915939" w14:textId="77777777" w:rsidR="00705CB2" w:rsidRDefault="00705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828A" w14:textId="77777777" w:rsidR="00776D3B" w:rsidRDefault="00000000">
    <w:pPr>
      <w:pStyle w:val="BodyText"/>
      <w:spacing w:before="0" w:line="14" w:lineRule="auto"/>
    </w:pPr>
    <w:r>
      <w:rPr>
        <w:noProof/>
      </w:rPr>
      <mc:AlternateContent>
        <mc:Choice Requires="wps">
          <w:drawing>
            <wp:anchor distT="0" distB="0" distL="0" distR="0" simplePos="0" relativeHeight="487412224" behindDoc="1" locked="0" layoutInCell="1" allowOverlap="1" wp14:anchorId="7E187DA6" wp14:editId="0C99343B">
              <wp:simplePos x="0" y="0"/>
              <wp:positionH relativeFrom="page">
                <wp:posOffset>2724429</wp:posOffset>
              </wp:positionH>
              <wp:positionV relativeFrom="page">
                <wp:posOffset>414775</wp:posOffset>
              </wp:positionV>
              <wp:extent cx="146367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3675" cy="165735"/>
                      </a:xfrm>
                      <a:prstGeom prst="rect">
                        <a:avLst/>
                      </a:prstGeom>
                    </wps:spPr>
                    <wps:txbx>
                      <w:txbxContent>
                        <w:p w14:paraId="23129490" w14:textId="4DEFB63C" w:rsidR="00776D3B" w:rsidRDefault="00776D3B">
                          <w:pPr>
                            <w:spacing w:before="14"/>
                            <w:ind w:left="20"/>
                            <w:rPr>
                              <w:rFonts w:ascii="Arial MT"/>
                              <w:sz w:val="18"/>
                            </w:rPr>
                          </w:pPr>
                        </w:p>
                      </w:txbxContent>
                    </wps:txbx>
                    <wps:bodyPr wrap="square" lIns="0" tIns="0" rIns="0" bIns="0" rtlCol="0">
                      <a:noAutofit/>
                    </wps:bodyPr>
                  </wps:wsp>
                </a:graphicData>
              </a:graphic>
            </wp:anchor>
          </w:drawing>
        </mc:Choice>
        <mc:Fallback>
          <w:pict>
            <v:shapetype w14:anchorId="7E187DA6" id="_x0000_t202" coordsize="21600,21600" o:spt="202" path="m,l,21600r21600,l21600,xe">
              <v:stroke joinstyle="miter"/>
              <v:path gradientshapeok="t" o:connecttype="rect"/>
            </v:shapetype>
            <v:shape id="Textbox 14" o:spid="_x0000_s1028" type="#_x0000_t202" style="position:absolute;margin-left:214.5pt;margin-top:32.65pt;width:115.25pt;height:13.0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" filled="f" stroked="f">
              <v:textbox inset="0,0,0,0">
                <w:txbxContent>
                  <w:p w14:paraId="23129490" w14:textId="4DEFB63C" w:rsidR="00776D3B" w:rsidRDefault="00776D3B">
                    <w:pPr>
                      <w:spacing w:before="14"/>
                      <w:ind w:left="20"/>
                      <w:rPr>
                        <w:rFonts w:ascii="Arial MT"/>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1C54"/>
    <w:multiLevelType w:val="hybridMultilevel"/>
    <w:tmpl w:val="084244F4"/>
    <w:lvl w:ilvl="0" w:tplc="94424902">
      <w:start w:val="1"/>
      <w:numFmt w:val="decimal"/>
      <w:lvlText w:val="%1."/>
      <w:lvlJc w:val="left"/>
      <w:pPr>
        <w:ind w:left="367" w:hanging="299"/>
      </w:pPr>
      <w:rPr>
        <w:rFonts w:ascii="Times New Roman" w:eastAsia="Times New Roman" w:hAnsi="Times New Roman" w:cs="Times New Roman" w:hint="default"/>
        <w:b/>
        <w:bCs/>
        <w:i w:val="0"/>
        <w:iCs w:val="0"/>
        <w:spacing w:val="0"/>
        <w:w w:val="99"/>
        <w:sz w:val="24"/>
        <w:szCs w:val="24"/>
        <w:lang w:val="en-US" w:eastAsia="en-US" w:bidi="ar-SA"/>
      </w:rPr>
    </w:lvl>
    <w:lvl w:ilvl="1" w:tplc="5CBAB2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70ACE47A">
      <w:numFmt w:val="bullet"/>
      <w:lvlText w:val="•"/>
      <w:lvlJc w:val="left"/>
      <w:pPr>
        <w:ind w:left="560" w:hanging="204"/>
      </w:pPr>
      <w:rPr>
        <w:rFonts w:hint="default"/>
        <w:lang w:val="en-US" w:eastAsia="en-US" w:bidi="ar-SA"/>
      </w:rPr>
    </w:lvl>
    <w:lvl w:ilvl="3" w:tplc="B7143304">
      <w:numFmt w:val="bullet"/>
      <w:lvlText w:val="•"/>
      <w:lvlJc w:val="left"/>
      <w:pPr>
        <w:ind w:left="1673" w:hanging="204"/>
      </w:pPr>
      <w:rPr>
        <w:rFonts w:hint="default"/>
        <w:lang w:val="en-US" w:eastAsia="en-US" w:bidi="ar-SA"/>
      </w:rPr>
    </w:lvl>
    <w:lvl w:ilvl="4" w:tplc="65EEED68">
      <w:numFmt w:val="bullet"/>
      <w:lvlText w:val="•"/>
      <w:lvlJc w:val="left"/>
      <w:pPr>
        <w:ind w:left="2787" w:hanging="204"/>
      </w:pPr>
      <w:rPr>
        <w:rFonts w:hint="default"/>
        <w:lang w:val="en-US" w:eastAsia="en-US" w:bidi="ar-SA"/>
      </w:rPr>
    </w:lvl>
    <w:lvl w:ilvl="5" w:tplc="3E1AB8EE">
      <w:numFmt w:val="bullet"/>
      <w:lvlText w:val="•"/>
      <w:lvlJc w:val="left"/>
      <w:pPr>
        <w:ind w:left="3900" w:hanging="204"/>
      </w:pPr>
      <w:rPr>
        <w:rFonts w:hint="default"/>
        <w:lang w:val="en-US" w:eastAsia="en-US" w:bidi="ar-SA"/>
      </w:rPr>
    </w:lvl>
    <w:lvl w:ilvl="6" w:tplc="1FD0C24A">
      <w:numFmt w:val="bullet"/>
      <w:lvlText w:val="•"/>
      <w:lvlJc w:val="left"/>
      <w:pPr>
        <w:ind w:left="5014" w:hanging="204"/>
      </w:pPr>
      <w:rPr>
        <w:rFonts w:hint="default"/>
        <w:lang w:val="en-US" w:eastAsia="en-US" w:bidi="ar-SA"/>
      </w:rPr>
    </w:lvl>
    <w:lvl w:ilvl="7" w:tplc="05AE655A">
      <w:numFmt w:val="bullet"/>
      <w:lvlText w:val="•"/>
      <w:lvlJc w:val="left"/>
      <w:pPr>
        <w:ind w:left="6128" w:hanging="204"/>
      </w:pPr>
      <w:rPr>
        <w:rFonts w:hint="default"/>
        <w:lang w:val="en-US" w:eastAsia="en-US" w:bidi="ar-SA"/>
      </w:rPr>
    </w:lvl>
    <w:lvl w:ilvl="8" w:tplc="BEE25D9E">
      <w:numFmt w:val="bullet"/>
      <w:lvlText w:val="•"/>
      <w:lvlJc w:val="left"/>
      <w:pPr>
        <w:ind w:left="7241" w:hanging="204"/>
      </w:pPr>
      <w:rPr>
        <w:rFonts w:hint="default"/>
        <w:lang w:val="en-US" w:eastAsia="en-US" w:bidi="ar-SA"/>
      </w:rPr>
    </w:lvl>
  </w:abstractNum>
  <w:abstractNum w:abstractNumId="1" w15:restartNumberingAfterBreak="0">
    <w:nsid w:val="46B25BC1"/>
    <w:multiLevelType w:val="hybridMultilevel"/>
    <w:tmpl w:val="8542D42A"/>
    <w:lvl w:ilvl="0" w:tplc="EE64FFA8">
      <w:start w:val="1"/>
      <w:numFmt w:val="decimal"/>
      <w:lvlText w:val="%1."/>
      <w:lvlJc w:val="left"/>
      <w:pPr>
        <w:ind w:left="367" w:hanging="299"/>
      </w:pPr>
      <w:rPr>
        <w:rFonts w:ascii="Times New Roman" w:eastAsia="Times New Roman" w:hAnsi="Times New Roman" w:cs="Times New Roman" w:hint="default"/>
        <w:b/>
        <w:bCs/>
        <w:i w:val="0"/>
        <w:iCs w:val="0"/>
        <w:spacing w:val="0"/>
        <w:w w:val="99"/>
        <w:sz w:val="24"/>
        <w:szCs w:val="24"/>
        <w:lang w:val="en-US" w:eastAsia="en-US" w:bidi="ar-SA"/>
      </w:rPr>
    </w:lvl>
    <w:lvl w:ilvl="1" w:tplc="659C7F96">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44469310">
      <w:numFmt w:val="bullet"/>
      <w:lvlText w:val="•"/>
      <w:lvlJc w:val="left"/>
      <w:pPr>
        <w:ind w:left="560" w:hanging="204"/>
      </w:pPr>
      <w:rPr>
        <w:rFonts w:hint="default"/>
        <w:lang w:val="en-US" w:eastAsia="en-US" w:bidi="ar-SA"/>
      </w:rPr>
    </w:lvl>
    <w:lvl w:ilvl="3" w:tplc="61208B40">
      <w:numFmt w:val="bullet"/>
      <w:lvlText w:val="•"/>
      <w:lvlJc w:val="left"/>
      <w:pPr>
        <w:ind w:left="1673" w:hanging="204"/>
      </w:pPr>
      <w:rPr>
        <w:rFonts w:hint="default"/>
        <w:lang w:val="en-US" w:eastAsia="en-US" w:bidi="ar-SA"/>
      </w:rPr>
    </w:lvl>
    <w:lvl w:ilvl="4" w:tplc="BE903D4E">
      <w:numFmt w:val="bullet"/>
      <w:lvlText w:val="•"/>
      <w:lvlJc w:val="left"/>
      <w:pPr>
        <w:ind w:left="2787" w:hanging="204"/>
      </w:pPr>
      <w:rPr>
        <w:rFonts w:hint="default"/>
        <w:lang w:val="en-US" w:eastAsia="en-US" w:bidi="ar-SA"/>
      </w:rPr>
    </w:lvl>
    <w:lvl w:ilvl="5" w:tplc="594A0416">
      <w:numFmt w:val="bullet"/>
      <w:lvlText w:val="•"/>
      <w:lvlJc w:val="left"/>
      <w:pPr>
        <w:ind w:left="3900" w:hanging="204"/>
      </w:pPr>
      <w:rPr>
        <w:rFonts w:hint="default"/>
        <w:lang w:val="en-US" w:eastAsia="en-US" w:bidi="ar-SA"/>
      </w:rPr>
    </w:lvl>
    <w:lvl w:ilvl="6" w:tplc="1868AB9A">
      <w:numFmt w:val="bullet"/>
      <w:lvlText w:val="•"/>
      <w:lvlJc w:val="left"/>
      <w:pPr>
        <w:ind w:left="5014" w:hanging="204"/>
      </w:pPr>
      <w:rPr>
        <w:rFonts w:hint="default"/>
        <w:lang w:val="en-US" w:eastAsia="en-US" w:bidi="ar-SA"/>
      </w:rPr>
    </w:lvl>
    <w:lvl w:ilvl="7" w:tplc="A456063C">
      <w:numFmt w:val="bullet"/>
      <w:lvlText w:val="•"/>
      <w:lvlJc w:val="left"/>
      <w:pPr>
        <w:ind w:left="6128" w:hanging="204"/>
      </w:pPr>
      <w:rPr>
        <w:rFonts w:hint="default"/>
        <w:lang w:val="en-US" w:eastAsia="en-US" w:bidi="ar-SA"/>
      </w:rPr>
    </w:lvl>
    <w:lvl w:ilvl="8" w:tplc="95B25FAA">
      <w:numFmt w:val="bullet"/>
      <w:lvlText w:val="•"/>
      <w:lvlJc w:val="left"/>
      <w:pPr>
        <w:ind w:left="7241" w:hanging="204"/>
      </w:pPr>
      <w:rPr>
        <w:rFonts w:hint="default"/>
        <w:lang w:val="en-US" w:eastAsia="en-US" w:bidi="ar-SA"/>
      </w:rPr>
    </w:lvl>
  </w:abstractNum>
  <w:abstractNum w:abstractNumId="2" w15:restartNumberingAfterBreak="0">
    <w:nsid w:val="477F0405"/>
    <w:multiLevelType w:val="hybridMultilevel"/>
    <w:tmpl w:val="CF06BBEC"/>
    <w:lvl w:ilvl="0" w:tplc="CEBCA8C0">
      <w:start w:val="1"/>
      <w:numFmt w:val="decimal"/>
      <w:lvlText w:val="%1."/>
      <w:lvlJc w:val="left"/>
      <w:pPr>
        <w:ind w:left="566" w:hanging="250"/>
      </w:pPr>
      <w:rPr>
        <w:rFonts w:ascii="Times New Roman" w:eastAsia="Times New Roman" w:hAnsi="Times New Roman" w:cs="Times New Roman" w:hint="default"/>
        <w:b w:val="0"/>
        <w:bCs w:val="0"/>
        <w:i w:val="0"/>
        <w:iCs w:val="0"/>
        <w:spacing w:val="0"/>
        <w:w w:val="99"/>
        <w:sz w:val="20"/>
        <w:szCs w:val="20"/>
        <w:lang w:val="en-US" w:eastAsia="en-US" w:bidi="ar-SA"/>
      </w:rPr>
    </w:lvl>
    <w:lvl w:ilvl="1" w:tplc="4A1EBCDC">
      <w:numFmt w:val="bullet"/>
      <w:lvlText w:val="•"/>
      <w:lvlJc w:val="left"/>
      <w:pPr>
        <w:ind w:left="1450" w:hanging="250"/>
      </w:pPr>
      <w:rPr>
        <w:rFonts w:hint="default"/>
        <w:lang w:val="en-US" w:eastAsia="en-US" w:bidi="ar-SA"/>
      </w:rPr>
    </w:lvl>
    <w:lvl w:ilvl="2" w:tplc="B630C5AC">
      <w:numFmt w:val="bullet"/>
      <w:lvlText w:val="•"/>
      <w:lvlJc w:val="left"/>
      <w:pPr>
        <w:ind w:left="2341" w:hanging="250"/>
      </w:pPr>
      <w:rPr>
        <w:rFonts w:hint="default"/>
        <w:lang w:val="en-US" w:eastAsia="en-US" w:bidi="ar-SA"/>
      </w:rPr>
    </w:lvl>
    <w:lvl w:ilvl="3" w:tplc="0C905170">
      <w:numFmt w:val="bullet"/>
      <w:lvlText w:val="•"/>
      <w:lvlJc w:val="left"/>
      <w:pPr>
        <w:ind w:left="3232" w:hanging="250"/>
      </w:pPr>
      <w:rPr>
        <w:rFonts w:hint="default"/>
        <w:lang w:val="en-US" w:eastAsia="en-US" w:bidi="ar-SA"/>
      </w:rPr>
    </w:lvl>
    <w:lvl w:ilvl="4" w:tplc="C5664CD2">
      <w:numFmt w:val="bullet"/>
      <w:lvlText w:val="•"/>
      <w:lvlJc w:val="left"/>
      <w:pPr>
        <w:ind w:left="4123" w:hanging="250"/>
      </w:pPr>
      <w:rPr>
        <w:rFonts w:hint="default"/>
        <w:lang w:val="en-US" w:eastAsia="en-US" w:bidi="ar-SA"/>
      </w:rPr>
    </w:lvl>
    <w:lvl w:ilvl="5" w:tplc="93CC5DD8">
      <w:numFmt w:val="bullet"/>
      <w:lvlText w:val="•"/>
      <w:lvlJc w:val="left"/>
      <w:pPr>
        <w:ind w:left="5014" w:hanging="250"/>
      </w:pPr>
      <w:rPr>
        <w:rFonts w:hint="default"/>
        <w:lang w:val="en-US" w:eastAsia="en-US" w:bidi="ar-SA"/>
      </w:rPr>
    </w:lvl>
    <w:lvl w:ilvl="6" w:tplc="96187CC8">
      <w:numFmt w:val="bullet"/>
      <w:lvlText w:val="•"/>
      <w:lvlJc w:val="left"/>
      <w:pPr>
        <w:ind w:left="5905" w:hanging="250"/>
      </w:pPr>
      <w:rPr>
        <w:rFonts w:hint="default"/>
        <w:lang w:val="en-US" w:eastAsia="en-US" w:bidi="ar-SA"/>
      </w:rPr>
    </w:lvl>
    <w:lvl w:ilvl="7" w:tplc="A100FA42">
      <w:numFmt w:val="bullet"/>
      <w:lvlText w:val="•"/>
      <w:lvlJc w:val="left"/>
      <w:pPr>
        <w:ind w:left="6796" w:hanging="250"/>
      </w:pPr>
      <w:rPr>
        <w:rFonts w:hint="default"/>
        <w:lang w:val="en-US" w:eastAsia="en-US" w:bidi="ar-SA"/>
      </w:rPr>
    </w:lvl>
    <w:lvl w:ilvl="8" w:tplc="3B9655FA">
      <w:numFmt w:val="bullet"/>
      <w:lvlText w:val="•"/>
      <w:lvlJc w:val="left"/>
      <w:pPr>
        <w:ind w:left="7687" w:hanging="250"/>
      </w:pPr>
      <w:rPr>
        <w:rFonts w:hint="default"/>
        <w:lang w:val="en-US" w:eastAsia="en-US" w:bidi="ar-SA"/>
      </w:rPr>
    </w:lvl>
  </w:abstractNum>
  <w:abstractNum w:abstractNumId="3" w15:restartNumberingAfterBreak="0">
    <w:nsid w:val="52B76C03"/>
    <w:multiLevelType w:val="hybridMultilevel"/>
    <w:tmpl w:val="18584D9E"/>
    <w:lvl w:ilvl="0" w:tplc="FE8E3218">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5052C022">
      <w:numFmt w:val="bullet"/>
      <w:lvlText w:val="•"/>
      <w:lvlJc w:val="left"/>
      <w:pPr>
        <w:ind w:left="1450" w:hanging="204"/>
      </w:pPr>
      <w:rPr>
        <w:rFonts w:hint="default"/>
        <w:lang w:val="en-US" w:eastAsia="en-US" w:bidi="ar-SA"/>
      </w:rPr>
    </w:lvl>
    <w:lvl w:ilvl="2" w:tplc="8B8015C2">
      <w:numFmt w:val="bullet"/>
      <w:lvlText w:val="•"/>
      <w:lvlJc w:val="left"/>
      <w:pPr>
        <w:ind w:left="2341" w:hanging="204"/>
      </w:pPr>
      <w:rPr>
        <w:rFonts w:hint="default"/>
        <w:lang w:val="en-US" w:eastAsia="en-US" w:bidi="ar-SA"/>
      </w:rPr>
    </w:lvl>
    <w:lvl w:ilvl="3" w:tplc="F9302900">
      <w:numFmt w:val="bullet"/>
      <w:lvlText w:val="•"/>
      <w:lvlJc w:val="left"/>
      <w:pPr>
        <w:ind w:left="3232" w:hanging="204"/>
      </w:pPr>
      <w:rPr>
        <w:rFonts w:hint="default"/>
        <w:lang w:val="en-US" w:eastAsia="en-US" w:bidi="ar-SA"/>
      </w:rPr>
    </w:lvl>
    <w:lvl w:ilvl="4" w:tplc="6FCEA2B6">
      <w:numFmt w:val="bullet"/>
      <w:lvlText w:val="•"/>
      <w:lvlJc w:val="left"/>
      <w:pPr>
        <w:ind w:left="4123" w:hanging="204"/>
      </w:pPr>
      <w:rPr>
        <w:rFonts w:hint="default"/>
        <w:lang w:val="en-US" w:eastAsia="en-US" w:bidi="ar-SA"/>
      </w:rPr>
    </w:lvl>
    <w:lvl w:ilvl="5" w:tplc="CD1419DE">
      <w:numFmt w:val="bullet"/>
      <w:lvlText w:val="•"/>
      <w:lvlJc w:val="left"/>
      <w:pPr>
        <w:ind w:left="5014" w:hanging="204"/>
      </w:pPr>
      <w:rPr>
        <w:rFonts w:hint="default"/>
        <w:lang w:val="en-US" w:eastAsia="en-US" w:bidi="ar-SA"/>
      </w:rPr>
    </w:lvl>
    <w:lvl w:ilvl="6" w:tplc="9B64F6D4">
      <w:numFmt w:val="bullet"/>
      <w:lvlText w:val="•"/>
      <w:lvlJc w:val="left"/>
      <w:pPr>
        <w:ind w:left="5905" w:hanging="204"/>
      </w:pPr>
      <w:rPr>
        <w:rFonts w:hint="default"/>
        <w:lang w:val="en-US" w:eastAsia="en-US" w:bidi="ar-SA"/>
      </w:rPr>
    </w:lvl>
    <w:lvl w:ilvl="7" w:tplc="B826383A">
      <w:numFmt w:val="bullet"/>
      <w:lvlText w:val="•"/>
      <w:lvlJc w:val="left"/>
      <w:pPr>
        <w:ind w:left="6796" w:hanging="204"/>
      </w:pPr>
      <w:rPr>
        <w:rFonts w:hint="default"/>
        <w:lang w:val="en-US" w:eastAsia="en-US" w:bidi="ar-SA"/>
      </w:rPr>
    </w:lvl>
    <w:lvl w:ilvl="8" w:tplc="70FE2B2C">
      <w:numFmt w:val="bullet"/>
      <w:lvlText w:val="•"/>
      <w:lvlJc w:val="left"/>
      <w:pPr>
        <w:ind w:left="7687" w:hanging="204"/>
      </w:pPr>
      <w:rPr>
        <w:rFonts w:hint="default"/>
        <w:lang w:val="en-US" w:eastAsia="en-US" w:bidi="ar-SA"/>
      </w:rPr>
    </w:lvl>
  </w:abstractNum>
  <w:abstractNum w:abstractNumId="4" w15:restartNumberingAfterBreak="0">
    <w:nsid w:val="53400FBF"/>
    <w:multiLevelType w:val="hybridMultilevel"/>
    <w:tmpl w:val="9D8A5BBC"/>
    <w:lvl w:ilvl="0" w:tplc="C48E12B0">
      <w:start w:val="1"/>
      <w:numFmt w:val="decimal"/>
      <w:lvlText w:val="(%1)"/>
      <w:lvlJc w:val="left"/>
      <w:pPr>
        <w:ind w:left="400" w:hanging="332"/>
      </w:pPr>
      <w:rPr>
        <w:rFonts w:ascii="Times New Roman" w:eastAsia="Times New Roman" w:hAnsi="Times New Roman" w:cs="Times New Roman" w:hint="default"/>
        <w:b w:val="0"/>
        <w:bCs w:val="0"/>
        <w:i w:val="0"/>
        <w:iCs w:val="0"/>
        <w:spacing w:val="0"/>
        <w:w w:val="99"/>
        <w:sz w:val="20"/>
        <w:szCs w:val="20"/>
        <w:lang w:val="en-US" w:eastAsia="en-US" w:bidi="ar-SA"/>
      </w:rPr>
    </w:lvl>
    <w:lvl w:ilvl="1" w:tplc="4B206226">
      <w:numFmt w:val="bullet"/>
      <w:lvlText w:val="•"/>
      <w:lvlJc w:val="left"/>
      <w:pPr>
        <w:ind w:left="1306" w:hanging="332"/>
      </w:pPr>
      <w:rPr>
        <w:rFonts w:hint="default"/>
        <w:lang w:val="en-US" w:eastAsia="en-US" w:bidi="ar-SA"/>
      </w:rPr>
    </w:lvl>
    <w:lvl w:ilvl="2" w:tplc="EB24421A">
      <w:numFmt w:val="bullet"/>
      <w:lvlText w:val="•"/>
      <w:lvlJc w:val="left"/>
      <w:pPr>
        <w:ind w:left="2213" w:hanging="332"/>
      </w:pPr>
      <w:rPr>
        <w:rFonts w:hint="default"/>
        <w:lang w:val="en-US" w:eastAsia="en-US" w:bidi="ar-SA"/>
      </w:rPr>
    </w:lvl>
    <w:lvl w:ilvl="3" w:tplc="5F6C1D26">
      <w:numFmt w:val="bullet"/>
      <w:lvlText w:val="•"/>
      <w:lvlJc w:val="left"/>
      <w:pPr>
        <w:ind w:left="3120" w:hanging="332"/>
      </w:pPr>
      <w:rPr>
        <w:rFonts w:hint="default"/>
        <w:lang w:val="en-US" w:eastAsia="en-US" w:bidi="ar-SA"/>
      </w:rPr>
    </w:lvl>
    <w:lvl w:ilvl="4" w:tplc="7D6ACCA4">
      <w:numFmt w:val="bullet"/>
      <w:lvlText w:val="•"/>
      <w:lvlJc w:val="left"/>
      <w:pPr>
        <w:ind w:left="4027" w:hanging="332"/>
      </w:pPr>
      <w:rPr>
        <w:rFonts w:hint="default"/>
        <w:lang w:val="en-US" w:eastAsia="en-US" w:bidi="ar-SA"/>
      </w:rPr>
    </w:lvl>
    <w:lvl w:ilvl="5" w:tplc="3A90F8BE">
      <w:numFmt w:val="bullet"/>
      <w:lvlText w:val="•"/>
      <w:lvlJc w:val="left"/>
      <w:pPr>
        <w:ind w:left="4934" w:hanging="332"/>
      </w:pPr>
      <w:rPr>
        <w:rFonts w:hint="default"/>
        <w:lang w:val="en-US" w:eastAsia="en-US" w:bidi="ar-SA"/>
      </w:rPr>
    </w:lvl>
    <w:lvl w:ilvl="6" w:tplc="29D084B4">
      <w:numFmt w:val="bullet"/>
      <w:lvlText w:val="•"/>
      <w:lvlJc w:val="left"/>
      <w:pPr>
        <w:ind w:left="5841" w:hanging="332"/>
      </w:pPr>
      <w:rPr>
        <w:rFonts w:hint="default"/>
        <w:lang w:val="en-US" w:eastAsia="en-US" w:bidi="ar-SA"/>
      </w:rPr>
    </w:lvl>
    <w:lvl w:ilvl="7" w:tplc="9250AF8C">
      <w:numFmt w:val="bullet"/>
      <w:lvlText w:val="•"/>
      <w:lvlJc w:val="left"/>
      <w:pPr>
        <w:ind w:left="6748" w:hanging="332"/>
      </w:pPr>
      <w:rPr>
        <w:rFonts w:hint="default"/>
        <w:lang w:val="en-US" w:eastAsia="en-US" w:bidi="ar-SA"/>
      </w:rPr>
    </w:lvl>
    <w:lvl w:ilvl="8" w:tplc="0AA01D16">
      <w:numFmt w:val="bullet"/>
      <w:lvlText w:val="•"/>
      <w:lvlJc w:val="left"/>
      <w:pPr>
        <w:ind w:left="7655" w:hanging="332"/>
      </w:pPr>
      <w:rPr>
        <w:rFonts w:hint="default"/>
        <w:lang w:val="en-US" w:eastAsia="en-US" w:bidi="ar-SA"/>
      </w:rPr>
    </w:lvl>
  </w:abstractNum>
  <w:abstractNum w:abstractNumId="5" w15:restartNumberingAfterBreak="0">
    <w:nsid w:val="702F7B89"/>
    <w:multiLevelType w:val="hybridMultilevel"/>
    <w:tmpl w:val="176E2248"/>
    <w:lvl w:ilvl="0" w:tplc="66788F14">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8610903C">
      <w:numFmt w:val="bullet"/>
      <w:lvlText w:val="•"/>
      <w:lvlJc w:val="left"/>
      <w:pPr>
        <w:ind w:left="1450" w:hanging="204"/>
      </w:pPr>
      <w:rPr>
        <w:rFonts w:hint="default"/>
        <w:lang w:val="en-US" w:eastAsia="en-US" w:bidi="ar-SA"/>
      </w:rPr>
    </w:lvl>
    <w:lvl w:ilvl="2" w:tplc="D3FE43DA">
      <w:numFmt w:val="bullet"/>
      <w:lvlText w:val="•"/>
      <w:lvlJc w:val="left"/>
      <w:pPr>
        <w:ind w:left="2341" w:hanging="204"/>
      </w:pPr>
      <w:rPr>
        <w:rFonts w:hint="default"/>
        <w:lang w:val="en-US" w:eastAsia="en-US" w:bidi="ar-SA"/>
      </w:rPr>
    </w:lvl>
    <w:lvl w:ilvl="3" w:tplc="561A8B6C">
      <w:numFmt w:val="bullet"/>
      <w:lvlText w:val="•"/>
      <w:lvlJc w:val="left"/>
      <w:pPr>
        <w:ind w:left="3232" w:hanging="204"/>
      </w:pPr>
      <w:rPr>
        <w:rFonts w:hint="default"/>
        <w:lang w:val="en-US" w:eastAsia="en-US" w:bidi="ar-SA"/>
      </w:rPr>
    </w:lvl>
    <w:lvl w:ilvl="4" w:tplc="3FEA4104">
      <w:numFmt w:val="bullet"/>
      <w:lvlText w:val="•"/>
      <w:lvlJc w:val="left"/>
      <w:pPr>
        <w:ind w:left="4123" w:hanging="204"/>
      </w:pPr>
      <w:rPr>
        <w:rFonts w:hint="default"/>
        <w:lang w:val="en-US" w:eastAsia="en-US" w:bidi="ar-SA"/>
      </w:rPr>
    </w:lvl>
    <w:lvl w:ilvl="5" w:tplc="C15A365E">
      <w:numFmt w:val="bullet"/>
      <w:lvlText w:val="•"/>
      <w:lvlJc w:val="left"/>
      <w:pPr>
        <w:ind w:left="5014" w:hanging="204"/>
      </w:pPr>
      <w:rPr>
        <w:rFonts w:hint="default"/>
        <w:lang w:val="en-US" w:eastAsia="en-US" w:bidi="ar-SA"/>
      </w:rPr>
    </w:lvl>
    <w:lvl w:ilvl="6" w:tplc="FBAEF536">
      <w:numFmt w:val="bullet"/>
      <w:lvlText w:val="•"/>
      <w:lvlJc w:val="left"/>
      <w:pPr>
        <w:ind w:left="5905" w:hanging="204"/>
      </w:pPr>
      <w:rPr>
        <w:rFonts w:hint="default"/>
        <w:lang w:val="en-US" w:eastAsia="en-US" w:bidi="ar-SA"/>
      </w:rPr>
    </w:lvl>
    <w:lvl w:ilvl="7" w:tplc="D3A267EC">
      <w:numFmt w:val="bullet"/>
      <w:lvlText w:val="•"/>
      <w:lvlJc w:val="left"/>
      <w:pPr>
        <w:ind w:left="6796" w:hanging="204"/>
      </w:pPr>
      <w:rPr>
        <w:rFonts w:hint="default"/>
        <w:lang w:val="en-US" w:eastAsia="en-US" w:bidi="ar-SA"/>
      </w:rPr>
    </w:lvl>
    <w:lvl w:ilvl="8" w:tplc="49B28FA0">
      <w:numFmt w:val="bullet"/>
      <w:lvlText w:val="•"/>
      <w:lvlJc w:val="left"/>
      <w:pPr>
        <w:ind w:left="7687" w:hanging="204"/>
      </w:pPr>
      <w:rPr>
        <w:rFonts w:hint="default"/>
        <w:lang w:val="en-US" w:eastAsia="en-US" w:bidi="ar-SA"/>
      </w:rPr>
    </w:lvl>
  </w:abstractNum>
  <w:num w:numId="1" w16cid:durableId="366570775">
    <w:abstractNumId w:val="4"/>
  </w:num>
  <w:num w:numId="2" w16cid:durableId="124469473">
    <w:abstractNumId w:val="2"/>
  </w:num>
  <w:num w:numId="3" w16cid:durableId="1071849602">
    <w:abstractNumId w:val="1"/>
  </w:num>
  <w:num w:numId="4" w16cid:durableId="444812146">
    <w:abstractNumId w:val="3"/>
  </w:num>
  <w:num w:numId="5" w16cid:durableId="2062973186">
    <w:abstractNumId w:val="0"/>
  </w:num>
  <w:num w:numId="6" w16cid:durableId="1283459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6D3B"/>
    <w:rsid w:val="00081428"/>
    <w:rsid w:val="00111C1F"/>
    <w:rsid w:val="001A2B44"/>
    <w:rsid w:val="002B0CB9"/>
    <w:rsid w:val="004655CA"/>
    <w:rsid w:val="005A041E"/>
    <w:rsid w:val="006041F4"/>
    <w:rsid w:val="006B6423"/>
    <w:rsid w:val="006D7B36"/>
    <w:rsid w:val="00705CB2"/>
    <w:rsid w:val="00731299"/>
    <w:rsid w:val="00776D3B"/>
    <w:rsid w:val="00933DCB"/>
    <w:rsid w:val="00A25E74"/>
    <w:rsid w:val="00A30660"/>
    <w:rsid w:val="00A93E06"/>
    <w:rsid w:val="00AF713E"/>
    <w:rsid w:val="00B87EA5"/>
    <w:rsid w:val="00BB69E7"/>
    <w:rsid w:val="00C85C5D"/>
    <w:rsid w:val="00CC4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F0269"/>
  <w15:docId w15:val="{DF7D9FFF-B75A-4FB7-B06C-501FCB58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6" w:hanging="298"/>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 w:type="character" w:customStyle="1" w:styleId="Heading1Char">
    <w:name w:val="Heading 1 Char"/>
    <w:basedOn w:val="DefaultParagraphFont"/>
    <w:link w:val="Heading1"/>
    <w:uiPriority w:val="9"/>
    <w:rsid w:val="006041F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041F4"/>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93E06"/>
    <w:pPr>
      <w:tabs>
        <w:tab w:val="center" w:pos="4513"/>
        <w:tab w:val="right" w:pos="9026"/>
      </w:tabs>
    </w:pPr>
  </w:style>
  <w:style w:type="character" w:customStyle="1" w:styleId="HeaderChar">
    <w:name w:val="Header Char"/>
    <w:basedOn w:val="DefaultParagraphFont"/>
    <w:link w:val="Header"/>
    <w:uiPriority w:val="99"/>
    <w:rsid w:val="00A93E06"/>
    <w:rPr>
      <w:rFonts w:ascii="Times New Roman" w:eastAsia="Times New Roman" w:hAnsi="Times New Roman" w:cs="Times New Roman"/>
    </w:rPr>
  </w:style>
  <w:style w:type="paragraph" w:styleId="Footer">
    <w:name w:val="footer"/>
    <w:basedOn w:val="Normal"/>
    <w:link w:val="FooterChar"/>
    <w:uiPriority w:val="99"/>
    <w:unhideWhenUsed/>
    <w:rsid w:val="00A93E06"/>
    <w:pPr>
      <w:tabs>
        <w:tab w:val="center" w:pos="4513"/>
        <w:tab w:val="right" w:pos="9026"/>
      </w:tabs>
    </w:pPr>
  </w:style>
  <w:style w:type="character" w:customStyle="1" w:styleId="FooterChar">
    <w:name w:val="Footer Char"/>
    <w:basedOn w:val="DefaultParagraphFont"/>
    <w:link w:val="Footer"/>
    <w:uiPriority w:val="99"/>
    <w:rsid w:val="00A93E06"/>
    <w:rPr>
      <w:rFonts w:ascii="Times New Roman" w:eastAsia="Times New Roman" w:hAnsi="Times New Roman" w:cs="Times New Roman"/>
    </w:rPr>
  </w:style>
  <w:style w:type="character" w:styleId="Hyperlink">
    <w:name w:val="Hyperlink"/>
    <w:basedOn w:val="DefaultParagraphFont"/>
    <w:uiPriority w:val="99"/>
    <w:unhideWhenUsed/>
    <w:rsid w:val="005A041E"/>
    <w:rPr>
      <w:color w:val="0000FF" w:themeColor="hyperlink"/>
      <w:u w:val="single"/>
    </w:rPr>
  </w:style>
  <w:style w:type="character" w:styleId="UnresolvedMention">
    <w:name w:val="Unresolved Mention"/>
    <w:basedOn w:val="DefaultParagraphFont"/>
    <w:uiPriority w:val="99"/>
    <w:semiHidden/>
    <w:unhideWhenUsed/>
    <w:rsid w:val="005A0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9-1234-6969"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tanya.s.deep@gmail.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16</Pages>
  <Words>6576</Words>
  <Characters>37486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43975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dc:subject/>
  <dc:creator>Tanya Deep</dc:creator>
  <cp:keywords/>
  <dc:description/>
  <cp:lastModifiedBy>Tanya Deep</cp:lastModifiedBy>
  <cp:revision>9</cp:revision>
  <cp:lastPrinted>2026-07-10T16:00:00Z</cp:lastPrinted>
  <dcterms:created xsi:type="dcterms:W3CDTF">2026-07-10T04:40:00Z</dcterms:created>
  <dcterms:modified xsi:type="dcterms:W3CDTF">2026-07-10T16:05:00Z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2026-07-10T00:00:00Z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