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pPr>
    </w:p>
    <w:p>
      <w:pPr>
        <w:spacing w:after="720" w:line="312" w:lineRule="auto"/>
        <w:jc w:val="center"/>
      </w:pPr>
      <w:r>
        <w:rPr>
          <w:rFonts w:ascii="Times New Roman" w:hAnsi="Times New Roman"/>
          <w:b/>
          <w:color w:val="000000"/>
          <w:sz w:val="44"/>
        </w:rPr>
        <w:t>ARES: Conflict Escalation Early Warning System</w:t>
      </w:r>
    </w:p>
    <w:p>
      <w:pPr>
        <w:spacing w:before="480"/>
      </w:pPr>
    </w:p>
    <w:p>
      <w:pPr>
        <w:spacing w:after="120"/>
        <w:jc w:val="center"/>
      </w:pPr>
      <w:r>
        <w:rPr>
          <w:rFonts w:ascii="Times New Roman" w:hAnsi="Times New Roman"/>
          <w:color w:val="000000"/>
          <w:sz w:val="24"/>
        </w:rPr>
        <w:t>Tanya Deep — 1BY23IS231 — 1BY23IS231@bmsit.in</w:t>
      </w:r>
    </w:p>
    <w:p>
      <w:pPr>
        <w:spacing w:after="120"/>
        <w:jc w:val="center"/>
      </w:pPr>
      <w:r>
        <w:rPr>
          <w:rFonts w:ascii="Times New Roman" w:hAnsi="Times New Roman"/>
          <w:color w:val="000000"/>
          <w:sz w:val="24"/>
        </w:rPr>
        <w:t>Shirin S. Hegde — 1BY23IS198 — 1BY23IS198@bmsit.in</w:t>
      </w:r>
    </w:p>
    <w:p>
      <w:pPr>
        <w:spacing w:after="560"/>
        <w:jc w:val="center"/>
      </w:pPr>
      <w:r>
        <w:rPr>
          <w:rFonts w:ascii="Times New Roman" w:hAnsi="Times New Roman"/>
          <w:color w:val="000000"/>
          <w:sz w:val="24"/>
        </w:rPr>
        <w:t>Sreshta Karthikeyan — 1BY23IS215 — 1BY23IS215@bmsit.in</w:t>
      </w:r>
    </w:p>
    <w:p>
      <w:pPr>
        <w:spacing w:after="960" w:line="312" w:lineRule="auto"/>
        <w:jc w:val="center"/>
      </w:pPr>
      <w:r>
        <w:rPr>
          <w:rFonts w:ascii="Times New Roman" w:hAnsi="Times New Roman"/>
          <w:i/>
          <w:color w:val="000000"/>
          <w:sz w:val="24"/>
        </w:rPr>
        <w:t>Department of Information Science and Engineering</w:t>
        <w:br/>
        <w:t>BMS Institute of Technology and Management</w:t>
        <w:br/>
        <w:t>Bengaluru, Karnataka, India</w:t>
      </w:r>
    </w:p>
    <w:p>
      <w:pPr>
        <w:spacing w:before="960"/>
        <w:jc w:val="center"/>
      </w:pPr>
      <w:r>
        <w:rPr>
          <w:rFonts w:ascii="Times New Roman" w:hAnsi="Times New Roman"/>
          <w:color w:val="000000"/>
          <w:sz w:val="20"/>
        </w:rPr>
        <w:t>Academic Research Preprint — Working Document</w:t>
        <w:br/>
        <w:t>October 2026</w:t>
      </w:r>
    </w:p>
    <w:p>
      <w:pPr>
        <w:keepNext/>
        <w:pageBreakBefore/>
        <w:spacing w:before="480" w:after="240"/>
        <w:jc w:val="left"/>
      </w:pPr>
      <w:r>
        <w:rPr>
          <w:rFonts w:ascii="Times New Roman" w:hAnsi="Times New Roman"/>
          <w:b/>
          <w:color w:val="000000"/>
          <w:sz w:val="28"/>
        </w:rPr>
        <w:t>Abstract</w:t>
      </w:r>
    </w:p>
    <w:p>
      <w:pPr>
        <w:spacing w:line="324" w:lineRule="auto" w:after="280"/>
        <w:jc w:val="both"/>
      </w:pPr>
      <w:r>
        <w:rPr>
          <w:rFonts w:ascii="Times New Roman" w:hAnsi="Times New Roman"/>
          <w:color w:val="000000"/>
          <w:sz w:val="23"/>
        </w:rPr>
        <w:t>Quantitative conflict forecasting has historically been dominated by retrospective event databases that catalog political violence after casualties and physical damage have already occurred, leaving policymakers and humanitarian agencies in a posture of reactive response. While recent computational forecasting models have achieved promising results predicting isolated violent incidents using machine learning and temporal graph neural networks, they frequently function as uninterpretable black boxes and rarely synthesize the disparate narrative, economic, and diplomatic precursors that precede organized armed violence. This paper presents ARES, a conflict escalation early-warning system engineered to continuously track subnational and regional geopolitical tension. ARES harmonizes four heterogeneous open-source data streams: physical and kinetic conflict events from the Armed Conflict Location &amp; Event Data Project (ACLED) and the Uppsala Conflict Data Program (UCDP); media tone volatility and narrative polarization from real-time Global Database of Events, Language, and Tone (GDELT) 2.0 streams; structural macroeconomic stress gradients from the World Bank and International Monetary Fund (IMF); and bilateral diplomatic interactions and international sanctions from United Nations records and the Global Sanctions Database (GSDB). Incompatible spatial coordinates and reporting frequencies are reconciled through a standardized spatio-temporal lookup schema (Region_Key). The system implements a modular monolith architecture combining an asynchronous parallel ingestion pipeline, a spatial-temporal feature store, a domain-calibrated Sigmoid Z-Score Feature Fusion algorithm producing an interpretable 0–100 escalation risk score, and an unsupervised Isolation Forest anomaly detector. To bridge the gap between predictive modeling and operational decision-making, ARES enforces explainability-by-design: every risk tier is decomposed into localized feature contribution breakdowns and linked directly to raw underlying source evidence. Rather than asserting unverified predictive accuracy, this manuscript documents the complete architectural foundation, verified operational demonstrator, and formalizes a prospective historical backtesting protocol designed to evaluate early-warning lead times and false-alarm suppression without temporal information leakage.</w:t>
      </w:r>
    </w:p>
    <w:p>
      <w:pPr>
        <w:spacing w:before="160" w:after="360"/>
      </w:pPr>
      <w:r>
        <w:rPr>
          <w:rFonts w:ascii="Times New Roman" w:hAnsi="Times New Roman"/>
          <w:b/>
          <w:sz w:val="22"/>
        </w:rPr>
        <w:t xml:space="preserve">Keywords: </w:t>
      </w:r>
      <w:r>
        <w:rPr>
          <w:rFonts w:ascii="Times New Roman" w:hAnsi="Times New Roman"/>
          <w:sz w:val="22"/>
        </w:rPr>
        <w:t>Conflict Escalation, Early-Warning Systems, Multi-Source Data Fusion, Explainable Artificial Intelligence (XAI), Spatio-Temporal Modeling, Decision Support Systems, GDELT, ACLED.</w:t>
      </w:r>
    </w:p>
    <w:p>
      <w:pPr>
        <w:keepNext/>
        <w:pageBreakBefore/>
        <w:spacing w:before="360" w:after="160"/>
        <w:jc w:val="left"/>
      </w:pPr>
      <w:r>
        <w:rPr>
          <w:rFonts w:ascii="Times New Roman" w:hAnsi="Times New Roman"/>
          <w:b/>
          <w:color w:val="000000"/>
          <w:sz w:val="28"/>
        </w:rPr>
        <w:t>1. Introduction</w:t>
      </w:r>
    </w:p>
    <w:p>
      <w:pPr>
        <w:spacing w:line="360" w:lineRule="auto" w:after="120"/>
        <w:jc w:val="both"/>
      </w:pPr>
      <w:r>
        <w:rPr>
          <w:rFonts w:ascii="Times New Roman" w:hAnsi="Times New Roman"/>
          <w:b w:val="0"/>
          <w:i w:val="0"/>
          <w:color w:val="000000"/>
          <w:sz w:val="24"/>
        </w:rPr>
        <w:t>Armed conflicts, border skirmishes, and civil unrest rarely emerge as instantaneous, unheralded shocks. Almost universally, kinetic escalation is preceded by an observable, progressive accumulation of precursor signals: localized protest mobilization, sharp negative shifts in media tone, hyperinflationary economic distress, and deteriorating diplomatic engagement [1]–[5]. Over the past decade, the democratization of open-source intelligence (OSINT) has produced vast volumes of machine-readable geopolitical data, ranging from subnational armed clash logs (ACLED [7], UCDP [10]) and global news sentiment feeds (GDELT [8]) to multilateral economic indicators (World Bank, IMF [35]–[40]).</w:t>
      </w:r>
    </w:p>
    <w:p>
      <w:pPr>
        <w:spacing w:line="360" w:lineRule="auto" w:after="120"/>
        <w:jc w:val="both"/>
      </w:pPr>
      <w:r>
        <w:rPr>
          <w:rFonts w:ascii="Times New Roman" w:hAnsi="Times New Roman"/>
          <w:b w:val="0"/>
          <w:i w:val="0"/>
          <w:color w:val="000000"/>
          <w:sz w:val="24"/>
        </w:rPr>
        <w:t>However, existing conflict-monitoring infrastructure suffers from a fundamental operational limitation: it remains overwhelmingly reactive. Systems catalog violent events after they occur, functioning as historical documentation registries rather than predictive sentinels. When security analysts and humanitarian planners rely exclusively on retrospective clash counts, preventative diplomacy and risk mitigation cannot be mobilized until violence is already underway.</w:t>
      </w:r>
    </w:p>
    <w:p>
      <w:pPr>
        <w:spacing w:line="360" w:lineRule="auto" w:after="120"/>
        <w:jc w:val="both"/>
      </w:pPr>
      <w:r>
        <w:rPr>
          <w:rFonts w:ascii="Times New Roman" w:hAnsi="Times New Roman"/>
          <w:b w:val="0"/>
          <w:i w:val="0"/>
          <w:color w:val="000000"/>
          <w:sz w:val="24"/>
        </w:rPr>
        <w:t>To transition from retrospective documentation to proactive early warning, computational social science has increasingly applied statistical and machine learning models to conflict forecasting. Yet, existing computational forecasting approaches face three interrelated challenges:</w:t>
      </w:r>
    </w:p>
    <w:p>
      <w:pPr>
        <w:spacing w:line="360" w:lineRule="auto" w:after="120"/>
        <w:jc w:val="both"/>
      </w:pPr>
      <w:r>
        <w:rPr>
          <w:rFonts w:ascii="Times New Roman" w:hAnsi="Times New Roman"/>
          <w:b w:val="0"/>
          <w:i w:val="0"/>
          <w:color w:val="000000"/>
          <w:sz w:val="24"/>
        </w:rPr>
        <w:t>1. Temporal Horizon Mismatch: Leading predictive systems typically forecast binary conflict onset over long monthly or yearly horizons at coarse geographic levels, such as country-month or 0.5° × 0.5° PRIO-grid cells [1]–[3]. They do not track the continuous, dynamic daily transitions from baseline stability to diplomatic friction, narrative polarization, and kinetic crisis.</w:t>
      </w:r>
    </w:p>
    <w:p>
      <w:pPr>
        <w:spacing w:line="360" w:lineRule="auto" w:after="120"/>
        <w:jc w:val="both"/>
      </w:pPr>
      <w:r>
        <w:rPr>
          <w:rFonts w:ascii="Times New Roman" w:hAnsi="Times New Roman"/>
          <w:b w:val="0"/>
          <w:i w:val="0"/>
          <w:color w:val="000000"/>
          <w:sz w:val="24"/>
        </w:rPr>
        <w:t>2. Interpretability Crisis in Decision Support: Recent advances in deep temporal learning and dynamic graph representations (e.g., Temporal Graph Networks [13], EvolveGCN [14], deep attention mechanisms [19]) achieve high statistical fit but function as opaque black boxes. In high-stakes geopolitical analysis, a risk alert generated by an uninterpretable latent state cannot be validated, defended, or acted upon by human analysts. If a system cannot explain which specific factors triggered an alert and which verified source records substantiate it, it will inevitably be discounted by decision-makers.</w:t>
      </w:r>
    </w:p>
    <w:p>
      <w:pPr>
        <w:spacing w:line="360" w:lineRule="auto" w:after="120"/>
        <w:jc w:val="both"/>
      </w:pPr>
      <w:r>
        <w:rPr>
          <w:rFonts w:ascii="Times New Roman" w:hAnsi="Times New Roman"/>
          <w:b w:val="0"/>
          <w:i w:val="0"/>
          <w:color w:val="000000"/>
          <w:sz w:val="24"/>
        </w:rPr>
        <w:t>3. Data Heterogeneity and Spatial-Temporal Misalignment: Escalation drivers span incompatible scales. Kinetic clashes occur at discrete latitude and longitude coordinates on specific hours; news tone fluctuates across millions of unstructured articles daily; and macroeconomic stress indicators (GDP growth, CPI inflation, unemployment) are reported quarterly or annually at national aggregations. Harmonizing these disparate streams into a coherent analytical matrix without introducing severe aggregation noise remains an unsolved engineering challenge.</w:t>
      </w:r>
    </w:p>
    <w:p>
      <w:pPr>
        <w:keepNext/>
        <w:spacing w:before="240" w:after="80"/>
        <w:jc w:val="left"/>
      </w:pPr>
      <w:r>
        <w:rPr>
          <w:rFonts w:ascii="Times New Roman" w:hAnsi="Times New Roman"/>
          <w:b/>
          <w:color w:val="000000"/>
          <w:sz w:val="24"/>
        </w:rPr>
        <w:t>Operational Boundary: Human-in-the-Loop Decision Support</w:t>
      </w:r>
    </w:p>
    <w:p>
      <w:pPr>
        <w:spacing w:line="360" w:lineRule="auto" w:after="120"/>
        <w:jc w:val="both"/>
      </w:pPr>
      <w:r>
        <w:rPr>
          <w:rFonts w:ascii="Times New Roman" w:hAnsi="Times New Roman"/>
          <w:b w:val="0"/>
          <w:i w:val="0"/>
          <w:color w:val="000000"/>
          <w:sz w:val="24"/>
        </w:rPr>
        <w:t>ARES is explicitly designed as a human-in-the-loop decision-support system. It does not execute autonomous interventions, weapons dispatch, or automated policy enforcement. Its bounded objective is to ingest heterogeneous open data, compute transparent risk scores, detect statistical multi-variable anomalies, and present human analysts with an interpretable, source-traceable operational picture.</w:t>
      </w:r>
    </w:p>
    <w:p>
      <w:pPr>
        <w:keepNext/>
        <w:pageBreakBefore/>
        <w:spacing w:before="360" w:after="160"/>
        <w:jc w:val="left"/>
      </w:pPr>
      <w:r>
        <w:rPr>
          <w:rFonts w:ascii="Times New Roman" w:hAnsi="Times New Roman"/>
          <w:b/>
          <w:color w:val="000000"/>
          <w:sz w:val="28"/>
        </w:rPr>
        <w:t>2. Related Work</w:t>
      </w:r>
    </w:p>
    <w:p>
      <w:pPr>
        <w:spacing w:line="360" w:lineRule="auto" w:after="120"/>
        <w:jc w:val="both"/>
      </w:pPr>
      <w:r>
        <w:rPr>
          <w:rFonts w:ascii="Times New Roman" w:hAnsi="Times New Roman"/>
          <w:b w:val="0"/>
          <w:i w:val="0"/>
          <w:color w:val="000000"/>
          <w:sz w:val="24"/>
        </w:rPr>
        <w:t>Early quantitative conflict forecasting relied heavily on low-resolution regression frameworks using macro-structural covariates such as GDP per capita, regime type, and total population size. A major milestone was achieved by Hegre et al. with the ViEWS (Political Violence Early-Warning System) framework [1]–[3], which established an ensemble machine learning architecture forecasting monthly conflict probabilities at the country and subnational PRIO-grid level using UCDP data. In parallel, Ward et al. [4] demonstrated that Random Forest classifiers trained on subnational event data from the Integrated Crisis Early Warning System (ICEWS [9]) could forecast domestic political instability with higher predictive power than classical logit specifications. Brandt et al. [5] developed Bayesian spatio-temporal Poisson models to capture regional spillover dynamics, while Muchlinski et al. [6] systematically evaluated machine learning against logistic regression on highly imbalanced civil war onset datasets, demonstrating the superior capacity of tree-based ensembles to navigate rare-event class distributions without majority-class collapse. The empirical foundation for these models rests on standardized event repositories, notably ACLED (Raleigh et al. [7]), GDELT (Leetaru and Schrodt [8]), ICEWS (Boschee et al. [9]), and UCDP GED (Sundberg and Melander [10]; Gleditsch et al. [11]; Chojnacki et al. [12]).</w:t>
      </w:r>
    </w:p>
    <w:p>
      <w:pPr>
        <w:spacing w:line="360" w:lineRule="auto" w:after="120"/>
        <w:jc w:val="both"/>
      </w:pPr>
      <w:r>
        <w:rPr>
          <w:rFonts w:ascii="Times New Roman" w:hAnsi="Times New Roman"/>
          <w:b w:val="0"/>
          <w:i w:val="0"/>
          <w:color w:val="000000"/>
          <w:sz w:val="24"/>
        </w:rPr>
        <w:t>To capture dynamic interactions among geopolitical actors, recent studies have embraced graph neural networks and temporal knowledge graphs. Rossi et al. [13] introduced Temporal Graph Networks (TGNs) for continuous-time dynamic relational graphs, while Pareja et al. [14] proposed EvolveGCN to adapt graph convolutional parameters across time steps using recurrent architectures. Trivedi et al. [15], [16] formulated dynamic relational representations via DyRep and Know-Evolve. In specialized security domains, Campedelli et al. [18] modeled terrorist target selection using meta-graphs, and Hossain et al. [19] deployed multi-head attention networks across GDELT event streams to detect early precursor signals of geopolitical friction. While these deep relational architectures excel at modeling latent topological actor shifts, they impose severe opacity: attention weights and node embeddings cannot be straightforwardly translated into operational evidence trails for defense analysts.</w:t>
      </w:r>
    </w:p>
    <w:p>
      <w:pPr>
        <w:spacing w:line="360" w:lineRule="auto" w:after="120"/>
        <w:jc w:val="both"/>
      </w:pPr>
      <w:r>
        <w:rPr>
          <w:rFonts w:ascii="Times New Roman" w:hAnsi="Times New Roman"/>
          <w:b w:val="0"/>
          <w:i w:val="0"/>
          <w:color w:val="000000"/>
          <w:sz w:val="24"/>
        </w:rPr>
        <w:t>A substantial macroeconomic and political science literature demonstrates that economic shocks and environmental disruptions serve as baseline structural drivers of conflict. Synthesizing cross-disciplinary expert consensus, Mach et al. [35] established climate and environmental volatility as measurable risk multipliers for organized violence. Hsiang et al. [36] and Burke et al. [37] demonstrated non-linear relationships between climatic anomalies, macroeconomic productivity loss, and civil conflict. Earlier empirical work by Miguel et al. [38], Collier and Hoeffler [39], and Fearon and Laitin [40] proved that negative income shocks, soaring inflation, and rapid unemployment spikes severely lower the opportunity cost of rebellion and civil unrest, justifying the integration of macroeconomic stress indicators alongside kinetic event data.</w:t>
      </w:r>
    </w:p>
    <w:p>
      <w:pPr>
        <w:spacing w:line="360" w:lineRule="auto" w:after="120"/>
        <w:jc w:val="both"/>
      </w:pPr>
      <w:r>
        <w:rPr>
          <w:rFonts w:ascii="Times New Roman" w:hAnsi="Times New Roman"/>
          <w:b w:val="0"/>
          <w:i w:val="0"/>
          <w:color w:val="000000"/>
          <w:sz w:val="24"/>
        </w:rPr>
        <w:t>Predicting future risk trajectories over rolling horizons builds upon multivariate time-series modeling. Lim et al. [31] introduced the Temporal Fusion Transformer (TFT), combining recurrent layers with self-attention to provide interpretable multi-horizon quantile forecasts. Salinas et al. [32] formulated DeepAR, an autoregressive recurrent network producing probabilistic forecasts over volatile, sparse event counts. Zerveas et al. [33] demonstrated self-supervised transformer representations for multivariate time series. For unsupervised anomaly detection in non-linear feature spaces without labeled outlier annotations, Liu et al. [34] developed the Isolation Forest algorithm, isolating rare multidimensional anomalies through recursive random partitioning.</w:t>
      </w:r>
    </w:p>
    <w:p>
      <w:pPr>
        <w:spacing w:line="360" w:lineRule="auto" w:after="120"/>
        <w:jc w:val="both"/>
      </w:pPr>
      <w:r>
        <w:rPr>
          <w:rFonts w:ascii="Times New Roman" w:hAnsi="Times New Roman"/>
          <w:b w:val="0"/>
          <w:i w:val="0"/>
          <w:color w:val="000000"/>
          <w:sz w:val="24"/>
        </w:rPr>
        <w:t>In high-stakes analytical settings, predictive systems must satisfy rigorous interpretability constraints. Theoretical frameworks by Schölkopf et al. [41] emphasize that machine learning models deployed in non-stationary environments must learn causal representations rather than superficial observational correlations to avoid catastrophic failure under distribution shifts. Athey and Imbens [42] outlined rigorous methodologies for estimating heterogeneous treatment effects and decomposing complex machine learning outputs into actionable, interpretable drivers. These principles underpin ARES's architectural mandate that every alert must provide localized factor attributions and verifiable source-level evidence trails.</w:t>
      </w:r>
    </w:p>
    <w:p>
      <w:pPr>
        <w:keepNext/>
        <w:pageBreakBefore/>
        <w:spacing w:before="240" w:after="80"/>
        <w:jc w:val="left"/>
      </w:pPr>
      <w:r>
        <w:rPr>
          <w:rFonts w:ascii="Times New Roman" w:hAnsi="Times New Roman"/>
          <w:b/>
          <w:color w:val="000000"/>
          <w:sz w:val="20"/>
        </w:rPr>
        <w:t>TABLE I — COMPARATIVE POSITIONING OF CONFLICT FORECASTING SYSTEMS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D0D0D0"/>
          <w:insideV w:val="none"/>
        </w:tblBorders>
      </w:tblPr>
      <w:tblGrid>
        <w:gridCol w:w="1806"/>
        <w:gridCol w:w="1806"/>
        <w:gridCol w:w="1806"/>
        <w:gridCol w:w="1806"/>
        <w:gridCol w:w="1806"/>
      </w:tblGrid>
      <w:tr>
        <w:trPr>
          <w:tblHeader/>
          <w:cantSplit/>
        </w:trPr>
        <w:tc>
          <w:tcPr>
            <w:tcW w:type="dxa" w:w="1806"/>
            <w:tcBorders>
              <w:bottom w:val="single" w:sz="8" w:space="0" w:color="000000"/>
            </w:tcBorders>
            <w:tcMar>
              <w:top w:w="80" w:type="dxa"/>
              <w:bottom w:w="80" w:type="dxa"/>
              <w:left w:w="80" w:type="dxa"/>
              <w:right w:w="80" w:type="dxa"/>
            </w:tcMar>
          </w:tcPr>
          <w:p>
            <w:pPr>
              <w:spacing w:line="276" w:lineRule="auto" w:after="40"/>
              <w:jc w:val="center"/>
            </w:pPr>
            <w:r>
              <w:rPr>
                <w:b/>
                <w:sz w:val="18"/>
              </w:rPr>
              <w:t>System / Work</w:t>
            </w:r>
          </w:p>
        </w:tc>
        <w:tc>
          <w:tcPr>
            <w:tcW w:type="dxa" w:w="1806"/>
            <w:tcBorders>
              <w:bottom w:val="single" w:sz="8" w:space="0" w:color="000000"/>
            </w:tcBorders>
            <w:tcMar>
              <w:top w:w="80" w:type="dxa"/>
              <w:bottom w:w="80" w:type="dxa"/>
              <w:left w:w="80" w:type="dxa"/>
              <w:right w:w="80" w:type="dxa"/>
            </w:tcMar>
          </w:tcPr>
          <w:p>
            <w:pPr>
              <w:spacing w:line="276" w:lineRule="auto" w:after="40"/>
              <w:jc w:val="center"/>
            </w:pPr>
            <w:r>
              <w:rPr>
                <w:b/>
                <w:sz w:val="18"/>
              </w:rPr>
              <w:t>Core Modeling Approach</w:t>
            </w:r>
          </w:p>
        </w:tc>
        <w:tc>
          <w:tcPr>
            <w:tcW w:type="dxa" w:w="1806"/>
            <w:tcBorders>
              <w:bottom w:val="single" w:sz="8" w:space="0" w:color="000000"/>
            </w:tcBorders>
            <w:tcMar>
              <w:top w:w="80" w:type="dxa"/>
              <w:bottom w:w="80" w:type="dxa"/>
              <w:left w:w="80" w:type="dxa"/>
              <w:right w:w="80" w:type="dxa"/>
            </w:tcMar>
          </w:tcPr>
          <w:p>
            <w:pPr>
              <w:spacing w:line="276" w:lineRule="auto" w:after="40"/>
              <w:jc w:val="center"/>
            </w:pPr>
            <w:r>
              <w:rPr>
                <w:b/>
                <w:sz w:val="18"/>
              </w:rPr>
              <w:t>Data Integration Scope</w:t>
            </w:r>
          </w:p>
        </w:tc>
        <w:tc>
          <w:tcPr>
            <w:tcW w:type="dxa" w:w="1806"/>
            <w:tcBorders>
              <w:bottom w:val="single" w:sz="8" w:space="0" w:color="000000"/>
            </w:tcBorders>
            <w:tcMar>
              <w:top w:w="80" w:type="dxa"/>
              <w:bottom w:w="80" w:type="dxa"/>
              <w:left w:w="80" w:type="dxa"/>
              <w:right w:w="80" w:type="dxa"/>
            </w:tcMar>
          </w:tcPr>
          <w:p>
            <w:pPr>
              <w:spacing w:line="276" w:lineRule="auto" w:after="40"/>
              <w:jc w:val="center"/>
            </w:pPr>
            <w:r>
              <w:rPr>
                <w:b/>
                <w:sz w:val="18"/>
              </w:rPr>
              <w:t>Spatial &amp; Temporal Resolution</w:t>
            </w:r>
          </w:p>
        </w:tc>
        <w:tc>
          <w:tcPr>
            <w:tcW w:type="dxa" w:w="1806"/>
            <w:tcBorders>
              <w:bottom w:val="single" w:sz="8" w:space="0" w:color="000000"/>
            </w:tcBorders>
            <w:tcMar>
              <w:top w:w="80" w:type="dxa"/>
              <w:bottom w:w="80" w:type="dxa"/>
              <w:left w:w="80" w:type="dxa"/>
              <w:right w:w="80" w:type="dxa"/>
            </w:tcMar>
          </w:tcPr>
          <w:p>
            <w:pPr>
              <w:spacing w:line="276" w:lineRule="auto" w:after="40"/>
              <w:jc w:val="center"/>
            </w:pPr>
            <w:r>
              <w:rPr>
                <w:b/>
                <w:sz w:val="18"/>
              </w:rPr>
              <w:t>Explainability &amp; Traceability</w:t>
            </w:r>
          </w:p>
        </w:tc>
      </w:tr>
      <w:tr>
        <w:trPr>
          <w:cantSplit/>
        </w:trPr>
        <w:tc>
          <w:tcPr>
            <w:tcW w:type="dxa" w:w="1806"/>
            <w:tcMar>
              <w:top w:w="60" w:type="dxa"/>
              <w:bottom w:w="60" w:type="dxa"/>
              <w:left w:w="80" w:type="dxa"/>
              <w:right w:w="80" w:type="dxa"/>
            </w:tcMar>
          </w:tcPr>
          <w:p>
            <w:pPr>
              <w:spacing w:line="276" w:lineRule="auto" w:after="40"/>
              <w:jc w:val="left"/>
            </w:pPr>
            <w:r>
              <w:rPr>
                <w:sz w:val="17"/>
              </w:rPr>
              <w:t>ViEWS</w:t>
              <w:br/>
              <w:t>(Hegre et al. [1]–[3])</w:t>
            </w:r>
          </w:p>
        </w:tc>
        <w:tc>
          <w:tcPr>
            <w:tcW w:type="dxa" w:w="1806"/>
            <w:tcMar>
              <w:top w:w="60" w:type="dxa"/>
              <w:bottom w:w="60" w:type="dxa"/>
              <w:left w:w="80" w:type="dxa"/>
              <w:right w:w="80" w:type="dxa"/>
            </w:tcMar>
          </w:tcPr>
          <w:p>
            <w:pPr>
              <w:spacing w:line="276" w:lineRule="auto" w:after="40"/>
              <w:jc w:val="left"/>
            </w:pPr>
            <w:r>
              <w:rPr>
                <w:sz w:val="17"/>
              </w:rPr>
              <w:t>Ensemble ML (Logit, Random Forest, Hurdle models)</w:t>
            </w:r>
          </w:p>
        </w:tc>
        <w:tc>
          <w:tcPr>
            <w:tcW w:type="dxa" w:w="1806"/>
            <w:tcMar>
              <w:top w:w="60" w:type="dxa"/>
              <w:bottom w:w="60" w:type="dxa"/>
              <w:left w:w="80" w:type="dxa"/>
              <w:right w:w="80" w:type="dxa"/>
            </w:tcMar>
          </w:tcPr>
          <w:p>
            <w:pPr>
              <w:spacing w:line="276" w:lineRule="auto" w:after="40"/>
              <w:jc w:val="left"/>
            </w:pPr>
            <w:r>
              <w:rPr>
                <w:sz w:val="17"/>
              </w:rPr>
              <w:t>UCDP conflict events + structural geographic/demographic covariates</w:t>
            </w:r>
          </w:p>
        </w:tc>
        <w:tc>
          <w:tcPr>
            <w:tcW w:type="dxa" w:w="1806"/>
            <w:tcMar>
              <w:top w:w="60" w:type="dxa"/>
              <w:bottom w:w="60" w:type="dxa"/>
              <w:left w:w="80" w:type="dxa"/>
              <w:right w:w="80" w:type="dxa"/>
            </w:tcMar>
          </w:tcPr>
          <w:p>
            <w:pPr>
              <w:spacing w:line="276" w:lineRule="auto" w:after="40"/>
              <w:jc w:val="left"/>
            </w:pPr>
            <w:r>
              <w:rPr>
                <w:sz w:val="17"/>
              </w:rPr>
              <w:t>0.5° × 0.5° PRIO-grid &amp; country-month (1–36 mo horizon)</w:t>
            </w:r>
          </w:p>
        </w:tc>
        <w:tc>
          <w:tcPr>
            <w:tcW w:type="dxa" w:w="1806"/>
            <w:tcMar>
              <w:top w:w="60" w:type="dxa"/>
              <w:bottom w:w="60" w:type="dxa"/>
              <w:left w:w="80" w:type="dxa"/>
              <w:right w:w="80" w:type="dxa"/>
            </w:tcMar>
          </w:tcPr>
          <w:p>
            <w:pPr>
              <w:spacing w:line="276" w:lineRule="auto" w:after="40"/>
              <w:jc w:val="left"/>
            </w:pPr>
            <w:r>
              <w:rPr>
                <w:sz w:val="17"/>
              </w:rPr>
              <w:t>Low to Med: Global feature importances; country-level risk profiles; no local live tracebacks.</w:t>
            </w:r>
          </w:p>
        </w:tc>
      </w:tr>
      <w:tr>
        <w:trPr>
          <w:cantSplit/>
        </w:trPr>
        <w:tc>
          <w:tcPr>
            <w:tcW w:type="dxa" w:w="1806"/>
            <w:tcMar>
              <w:top w:w="60" w:type="dxa"/>
              <w:bottom w:w="60" w:type="dxa"/>
              <w:left w:w="80" w:type="dxa"/>
              <w:right w:w="80" w:type="dxa"/>
            </w:tcMar>
          </w:tcPr>
          <w:p>
            <w:pPr>
              <w:spacing w:line="276" w:lineRule="auto" w:after="40"/>
              <w:jc w:val="left"/>
            </w:pPr>
            <w:r>
              <w:rPr>
                <w:sz w:val="17"/>
              </w:rPr>
              <w:t>ICEWS-RF</w:t>
              <w:br/>
              <w:t>(Ward et al. [4])</w:t>
            </w:r>
          </w:p>
        </w:tc>
        <w:tc>
          <w:tcPr>
            <w:tcW w:type="dxa" w:w="1806"/>
            <w:tcMar>
              <w:top w:w="60" w:type="dxa"/>
              <w:bottom w:w="60" w:type="dxa"/>
              <w:left w:w="80" w:type="dxa"/>
              <w:right w:w="80" w:type="dxa"/>
            </w:tcMar>
          </w:tcPr>
          <w:p>
            <w:pPr>
              <w:spacing w:line="276" w:lineRule="auto" w:after="40"/>
              <w:jc w:val="left"/>
            </w:pPr>
            <w:r>
              <w:rPr>
                <w:sz w:val="17"/>
              </w:rPr>
              <w:t>Random Forest classifiers</w:t>
            </w:r>
          </w:p>
        </w:tc>
        <w:tc>
          <w:tcPr>
            <w:tcW w:type="dxa" w:w="1806"/>
            <w:tcMar>
              <w:top w:w="60" w:type="dxa"/>
              <w:bottom w:w="60" w:type="dxa"/>
              <w:left w:w="80" w:type="dxa"/>
              <w:right w:w="80" w:type="dxa"/>
            </w:tcMar>
          </w:tcPr>
          <w:p>
            <w:pPr>
              <w:spacing w:line="276" w:lineRule="auto" w:after="40"/>
              <w:jc w:val="left"/>
            </w:pPr>
            <w:r>
              <w:rPr>
                <w:sz w:val="17"/>
              </w:rPr>
              <w:t>ICEWS diplomatic and crisis event logs</w:t>
            </w:r>
          </w:p>
        </w:tc>
        <w:tc>
          <w:tcPr>
            <w:tcW w:type="dxa" w:w="1806"/>
            <w:tcMar>
              <w:top w:w="60" w:type="dxa"/>
              <w:bottom w:w="60" w:type="dxa"/>
              <w:left w:w="80" w:type="dxa"/>
              <w:right w:w="80" w:type="dxa"/>
            </w:tcMar>
          </w:tcPr>
          <w:p>
            <w:pPr>
              <w:spacing w:line="276" w:lineRule="auto" w:after="40"/>
              <w:jc w:val="left"/>
            </w:pPr>
            <w:r>
              <w:rPr>
                <w:sz w:val="17"/>
              </w:rPr>
              <w:t>Subnational administrative units; monthly intervals</w:t>
            </w:r>
          </w:p>
        </w:tc>
        <w:tc>
          <w:tcPr>
            <w:tcW w:type="dxa" w:w="1806"/>
            <w:tcMar>
              <w:top w:w="60" w:type="dxa"/>
              <w:bottom w:w="60" w:type="dxa"/>
              <w:left w:w="80" w:type="dxa"/>
              <w:right w:w="80" w:type="dxa"/>
            </w:tcMar>
          </w:tcPr>
          <w:p>
            <w:pPr>
              <w:spacing w:line="276" w:lineRule="auto" w:after="40"/>
              <w:jc w:val="left"/>
            </w:pPr>
            <w:r>
              <w:rPr>
                <w:sz w:val="17"/>
              </w:rPr>
              <w:t>Low: Global Gini feature importance; no local per-prediction attribution; no source URLs.</w:t>
            </w:r>
          </w:p>
        </w:tc>
      </w:tr>
      <w:tr>
        <w:trPr>
          <w:cantSplit/>
        </w:trPr>
        <w:tc>
          <w:tcPr>
            <w:tcW w:type="dxa" w:w="1806"/>
            <w:tcMar>
              <w:top w:w="60" w:type="dxa"/>
              <w:bottom w:w="60" w:type="dxa"/>
              <w:left w:w="80" w:type="dxa"/>
              <w:right w:w="80" w:type="dxa"/>
            </w:tcMar>
          </w:tcPr>
          <w:p>
            <w:pPr>
              <w:spacing w:line="276" w:lineRule="auto" w:after="40"/>
              <w:jc w:val="left"/>
            </w:pPr>
            <w:r>
              <w:rPr>
                <w:sz w:val="17"/>
              </w:rPr>
              <w:t>GDELT-Attention</w:t>
              <w:br/>
              <w:t>(Hossain et al. [19])</w:t>
            </w:r>
          </w:p>
        </w:tc>
        <w:tc>
          <w:tcPr>
            <w:tcW w:type="dxa" w:w="1806"/>
            <w:tcMar>
              <w:top w:w="60" w:type="dxa"/>
              <w:bottom w:w="60" w:type="dxa"/>
              <w:left w:w="80" w:type="dxa"/>
              <w:right w:w="80" w:type="dxa"/>
            </w:tcMar>
          </w:tcPr>
          <w:p>
            <w:pPr>
              <w:spacing w:line="276" w:lineRule="auto" w:after="40"/>
              <w:jc w:val="left"/>
            </w:pPr>
            <w:r>
              <w:rPr>
                <w:sz w:val="17"/>
              </w:rPr>
              <w:t>Deep Attention Neural Networks</w:t>
            </w:r>
          </w:p>
        </w:tc>
        <w:tc>
          <w:tcPr>
            <w:tcW w:type="dxa" w:w="1806"/>
            <w:tcMar>
              <w:top w:w="60" w:type="dxa"/>
              <w:bottom w:w="60" w:type="dxa"/>
              <w:left w:w="80" w:type="dxa"/>
              <w:right w:w="80" w:type="dxa"/>
            </w:tcMar>
          </w:tcPr>
          <w:p>
            <w:pPr>
              <w:spacing w:line="276" w:lineRule="auto" w:after="40"/>
              <w:jc w:val="left"/>
            </w:pPr>
            <w:r>
              <w:rPr>
                <w:sz w:val="17"/>
              </w:rPr>
              <w:t>GDELT media events and localized tone streams</w:t>
            </w:r>
          </w:p>
        </w:tc>
        <w:tc>
          <w:tcPr>
            <w:tcW w:type="dxa" w:w="1806"/>
            <w:tcMar>
              <w:top w:w="60" w:type="dxa"/>
              <w:bottom w:w="60" w:type="dxa"/>
              <w:left w:w="80" w:type="dxa"/>
              <w:right w:w="80" w:type="dxa"/>
            </w:tcMar>
          </w:tcPr>
          <w:p>
            <w:pPr>
              <w:spacing w:line="276" w:lineRule="auto" w:after="40"/>
              <w:jc w:val="left"/>
            </w:pPr>
            <w:r>
              <w:rPr>
                <w:sz w:val="17"/>
              </w:rPr>
              <w:t>National level; multi-day event sequence horizons</w:t>
            </w:r>
          </w:p>
        </w:tc>
        <w:tc>
          <w:tcPr>
            <w:tcW w:type="dxa" w:w="1806"/>
            <w:tcMar>
              <w:top w:w="60" w:type="dxa"/>
              <w:bottom w:w="60" w:type="dxa"/>
              <w:left w:w="80" w:type="dxa"/>
              <w:right w:w="80" w:type="dxa"/>
            </w:tcMar>
          </w:tcPr>
          <w:p>
            <w:pPr>
              <w:spacing w:line="276" w:lineRule="auto" w:after="40"/>
              <w:jc w:val="left"/>
            </w:pPr>
            <w:r>
              <w:rPr>
                <w:sz w:val="17"/>
              </w:rPr>
              <w:t>Low: Latent attention weights unmapped to operational evidence; opaque neural activations.</w:t>
            </w:r>
          </w:p>
        </w:tc>
      </w:tr>
      <w:tr>
        <w:trPr>
          <w:cantSplit/>
        </w:trPr>
        <w:tc>
          <w:tcPr>
            <w:tcW w:type="dxa" w:w="1806"/>
            <w:tcMar>
              <w:top w:w="60" w:type="dxa"/>
              <w:bottom w:w="60" w:type="dxa"/>
              <w:left w:w="80" w:type="dxa"/>
              <w:right w:w="80" w:type="dxa"/>
            </w:tcMar>
          </w:tcPr>
          <w:p>
            <w:pPr>
              <w:spacing w:line="276" w:lineRule="auto" w:after="40"/>
              <w:jc w:val="left"/>
            </w:pPr>
            <w:r>
              <w:rPr>
                <w:b/>
                <w:sz w:val="17"/>
              </w:rPr>
              <w:t>ARES</w:t>
              <w:br/>
              <w:t>(This System)</w:t>
            </w:r>
          </w:p>
        </w:tc>
        <w:tc>
          <w:tcPr>
            <w:tcW w:type="dxa" w:w="1806"/>
            <w:tcMar>
              <w:top w:w="60" w:type="dxa"/>
              <w:bottom w:w="60" w:type="dxa"/>
              <w:left w:w="80" w:type="dxa"/>
              <w:right w:w="80" w:type="dxa"/>
            </w:tcMar>
          </w:tcPr>
          <w:p>
            <w:pPr>
              <w:spacing w:line="276" w:lineRule="auto" w:after="40"/>
              <w:jc w:val="left"/>
            </w:pPr>
            <w:r>
              <w:rPr>
                <w:b/>
                <w:sz w:val="17"/>
              </w:rPr>
              <w:t>Domain-Calibrated Sigmoid Z-Score Fusion + Isolation Forest</w:t>
            </w:r>
          </w:p>
        </w:tc>
        <w:tc>
          <w:tcPr>
            <w:tcW w:type="dxa" w:w="1806"/>
            <w:tcMar>
              <w:top w:w="60" w:type="dxa"/>
              <w:bottom w:w="60" w:type="dxa"/>
              <w:left w:w="80" w:type="dxa"/>
              <w:right w:w="80" w:type="dxa"/>
            </w:tcMar>
          </w:tcPr>
          <w:p>
            <w:pPr>
              <w:spacing w:line="276" w:lineRule="auto" w:after="40"/>
              <w:jc w:val="left"/>
            </w:pPr>
            <w:r>
              <w:rPr>
                <w:b/>
                <w:sz w:val="17"/>
              </w:rPr>
              <w:t>4 Domains: Conflict Events + News Tone + Macroeconomics + Diplomatic</w:t>
            </w:r>
          </w:p>
        </w:tc>
        <w:tc>
          <w:tcPr>
            <w:tcW w:type="dxa" w:w="1806"/>
            <w:tcMar>
              <w:top w:w="60" w:type="dxa"/>
              <w:bottom w:w="60" w:type="dxa"/>
              <w:left w:w="80" w:type="dxa"/>
              <w:right w:w="80" w:type="dxa"/>
            </w:tcMar>
          </w:tcPr>
          <w:p>
            <w:pPr>
              <w:spacing w:line="276" w:lineRule="auto" w:after="40"/>
              <w:jc w:val="left"/>
            </w:pPr>
            <w:r>
              <w:rPr>
                <w:b/>
                <w:sz w:val="17"/>
              </w:rPr>
              <w:t>Regional/National Region_Key zones; daily rolling windows (7d, 14d, 30d)</w:t>
            </w:r>
          </w:p>
        </w:tc>
        <w:tc>
          <w:tcPr>
            <w:tcW w:type="dxa" w:w="1806"/>
            <w:tcMar>
              <w:top w:w="60" w:type="dxa"/>
              <w:bottom w:w="60" w:type="dxa"/>
              <w:left w:w="80" w:type="dxa"/>
              <w:right w:w="80" w:type="dxa"/>
            </w:tcMar>
          </w:tcPr>
          <w:p>
            <w:pPr>
              <w:spacing w:line="276" w:lineRule="auto" w:after="40"/>
              <w:jc w:val="left"/>
            </w:pPr>
            <w:r>
              <w:rPr>
                <w:b/>
                <w:sz w:val="17"/>
              </w:rPr>
              <w:t>High: Mandatory local factor attribution breakdown + direct raw-source URL tracebacks.</w:t>
            </w:r>
          </w:p>
        </w:tc>
      </w:tr>
    </w:tbl>
    <w:p>
      <w:pPr>
        <w:keepNext/>
        <w:pageBreakBefore/>
        <w:spacing w:before="360" w:after="160"/>
        <w:jc w:val="left"/>
      </w:pPr>
      <w:r>
        <w:rPr>
          <w:rFonts w:ascii="Times New Roman" w:hAnsi="Times New Roman"/>
          <w:b/>
          <w:color w:val="000000"/>
          <w:sz w:val="28"/>
        </w:rPr>
        <w:t>3. Research Gap and Contributions</w:t>
      </w:r>
    </w:p>
    <w:p>
      <w:pPr>
        <w:spacing w:line="360" w:lineRule="auto" w:after="120"/>
        <w:jc w:val="both"/>
      </w:pPr>
      <w:r>
        <w:rPr>
          <w:rFonts w:ascii="Times New Roman" w:hAnsi="Times New Roman"/>
          <w:b w:val="0"/>
          <w:i w:val="0"/>
          <w:color w:val="000000"/>
          <w:sz w:val="24"/>
        </w:rPr>
        <w:t>Nearest-Neighbour Analysis: The single closest prior system to ARES is ViEWS (Hegre et al., 2019) [1]. Both systems seek to provide subnational early warning of political violence using machine learning and open data. However, ViEWS is optimized for medium- to long-range structural forecasting (months to years) using monthly calendar aggregations and static structural covariates.</w:t>
      </w:r>
    </w:p>
    <w:p>
      <w:pPr>
        <w:spacing w:line="360" w:lineRule="auto" w:after="120"/>
        <w:jc w:val="both"/>
      </w:pPr>
      <w:r>
        <w:rPr>
          <w:rFonts w:ascii="Times New Roman" w:hAnsi="Times New Roman"/>
          <w:b w:val="0"/>
          <w:i w:val="0"/>
          <w:color w:val="000000"/>
          <w:sz w:val="24"/>
        </w:rPr>
        <w:t>The Research Gap Statement: The precise scientific gap addressed by ARES is formulated in a single sentence:</w:t>
      </w:r>
    </w:p>
    <w:p>
      <w:pPr>
        <w:spacing w:line="360" w:lineRule="auto" w:after="120"/>
        <w:jc w:val="both"/>
      </w:pPr>
      <w:r>
        <w:rPr>
          <w:rFonts w:ascii="Times New Roman" w:hAnsi="Times New Roman"/>
          <w:b w:val="0"/>
          <w:i/>
          <w:color w:val="000000"/>
          <w:sz w:val="24"/>
        </w:rPr>
        <w:t>“While established conflict early-warning frameworks such as ViEWS demonstrate the viability of ensemble statistical forecasting over monthly grid-cell event data, they operate primarily on retrospective monthly event logs with global model-level feature importances; ARES contributes an explainable, multi-source data fusion engineering framework that harmonizes near-real-time media tone volatility, physical conflict events, macroeconomic stress gradients, and diplomatic signaling into an interpretable daily risk score with mandatory per-alert factor attribution and raw source-evidence traceability.”</w:t>
      </w:r>
    </w:p>
    <w:p>
      <w:pPr>
        <w:spacing w:line="360" w:lineRule="auto" w:after="120"/>
        <w:jc w:val="both"/>
      </w:pPr>
      <w:r>
        <w:rPr>
          <w:rFonts w:ascii="Times New Roman" w:hAnsi="Times New Roman"/>
          <w:b w:val="0"/>
          <w:i w:val="0"/>
          <w:color w:val="000000"/>
          <w:sz w:val="24"/>
        </w:rPr>
        <w:t>Bounded Contributions: ARES does not claim the creation of a fundamentally new machine learning algorithm. Rather, its scientific and technical contribution is an engineering and data-fusion system that: (1) reconciles radically disparate spatial, temporal, and semantic data streams into a unified spatio-temporal representation (Region_Key); (2) enforces strict mathematical explainability at the decision boundary, preventing black-box opacity in sensitive defense and humanitarian contexts; and (3) provides an end-to-end, reproducible software architecture linking live OSINT ingestion to an analyst-facing decision-support dashboard.</w:t>
      </w:r>
    </w:p>
    <w:p>
      <w:pPr>
        <w:keepNext/>
        <w:pageBreakBefore/>
        <w:spacing w:before="360" w:after="160"/>
        <w:jc w:val="left"/>
      </w:pPr>
      <w:r>
        <w:rPr>
          <w:rFonts w:ascii="Times New Roman" w:hAnsi="Times New Roman"/>
          <w:b/>
          <w:color w:val="000000"/>
          <w:sz w:val="28"/>
        </w:rPr>
        <w:t>4. Research Questions and Objectives</w:t>
      </w:r>
    </w:p>
    <w:p>
      <w:pPr>
        <w:spacing w:line="360" w:lineRule="auto" w:after="120"/>
        <w:jc w:val="both"/>
      </w:pPr>
      <w:r>
        <w:rPr>
          <w:rFonts w:ascii="Times New Roman" w:hAnsi="Times New Roman"/>
          <w:b w:val="0"/>
          <w:i w:val="0"/>
          <w:color w:val="000000"/>
          <w:sz w:val="24"/>
        </w:rPr>
        <w:t>This research is organized around three fundamental research questions:</w:t>
      </w:r>
    </w:p>
    <w:p>
      <w:pPr>
        <w:spacing w:line="360" w:lineRule="auto" w:after="120"/>
        <w:jc w:val="both"/>
      </w:pPr>
      <w:r>
        <w:rPr>
          <w:rFonts w:ascii="Times New Roman" w:hAnsi="Times New Roman"/>
          <w:b w:val="0"/>
          <w:i w:val="0"/>
          <w:color w:val="000000"/>
          <w:sz w:val="24"/>
        </w:rPr>
        <w:t>RQ1 (Spatio-Temporal Harmonization): Can heterogeneous geopolitical data streams operating across disparate spatial formats (coordinate points, national ISO codes) and temporal frequencies (daily news streams, quarterly macroeconomic indicators) be harmonized into a standardized feature matrix without introducing critical temporal leakage or destructive aggregation artifacts?</w:t>
      </w:r>
    </w:p>
    <w:p>
      <w:pPr>
        <w:spacing w:line="360" w:lineRule="auto" w:after="120"/>
        <w:jc w:val="both"/>
      </w:pPr>
      <w:r>
        <w:rPr>
          <w:rFonts w:ascii="Times New Roman" w:hAnsi="Times New Roman"/>
          <w:b w:val="0"/>
          <w:i w:val="0"/>
          <w:color w:val="000000"/>
          <w:sz w:val="24"/>
        </w:rPr>
        <w:t>RQ2 (Explainability and Decision-Support Verification): How can multi-criteria risk scoring be formulated such that high-dimensional statistical anomaly signals are mapped directly to human-interpretable factor attributions and verifiable open-source URLs?</w:t>
      </w:r>
    </w:p>
    <w:p>
      <w:pPr>
        <w:spacing w:line="360" w:lineRule="auto" w:after="120"/>
        <w:jc w:val="both"/>
      </w:pPr>
      <w:r>
        <w:rPr>
          <w:rFonts w:ascii="Times New Roman" w:hAnsi="Times New Roman"/>
          <w:b w:val="0"/>
          <w:i w:val="0"/>
          <w:color w:val="000000"/>
          <w:sz w:val="24"/>
        </w:rPr>
        <w:t>RQ3 (Prospective Lead Time and False-Alarm Trade-Offs): Under rigorous retrospective historical backtesting with pre-peak data cutoffs (T_cutoff &lt; T_peak), does a multi-source fusion model achieve positive early-warning lead times (7–21 days) while suppressing false alarm rates (&lt;15%) during peacetime baselines?</w:t>
      </w:r>
    </w:p>
    <w:p>
      <w:pPr>
        <w:keepNext/>
        <w:pageBreakBefore/>
        <w:spacing w:before="360" w:after="160"/>
        <w:jc w:val="left"/>
      </w:pPr>
      <w:r>
        <w:rPr>
          <w:rFonts w:ascii="Times New Roman" w:hAnsi="Times New Roman"/>
          <w:b/>
          <w:color w:val="000000"/>
          <w:sz w:val="28"/>
        </w:rPr>
        <w:t>5. System Architecture</w:t>
      </w:r>
    </w:p>
    <w:p>
      <w:pPr>
        <w:spacing w:line="360" w:lineRule="auto" w:after="120"/>
        <w:jc w:val="both"/>
      </w:pPr>
      <w:r>
        <w:rPr>
          <w:rFonts w:ascii="Times New Roman" w:hAnsi="Times New Roman"/>
          <w:b w:val="0"/>
          <w:i w:val="0"/>
          <w:color w:val="000000"/>
          <w:sz w:val="24"/>
        </w:rPr>
        <w:t>ARES is engineered following the Modular Monolith architectural pattern. All computational pipelines execute within a unified software environment, eliminating the network latency, service discovery complexity, and distributed state overhead of microservices while enforcing strict logical separation of concerns across internal modules:</w:t>
      </w:r>
    </w:p>
    <w:p>
      <w:pPr>
        <w:spacing w:line="360" w:lineRule="auto" w:after="120"/>
        <w:jc w:val="both"/>
      </w:pPr>
      <w:r>
        <w:rPr>
          <w:rFonts w:ascii="Times New Roman" w:hAnsi="Times New Roman"/>
          <w:b w:val="0"/>
          <w:i w:val="0"/>
          <w:color w:val="000000"/>
          <w:sz w:val="24"/>
        </w:rPr>
        <w:t>1. /ingestion: Coordinates asynchronous external API requests via Python asyncio, aiohttp, and requests. Manages HTTP rate limits, exponential backoff (base 2s, 3 retries), and payload hashing to prevent redundant database writes.</w:t>
      </w:r>
    </w:p>
    <w:p>
      <w:pPr>
        <w:spacing w:line="360" w:lineRule="auto" w:after="120"/>
        <w:jc w:val="both"/>
      </w:pPr>
      <w:r>
        <w:rPr>
          <w:rFonts w:ascii="Times New Roman" w:hAnsi="Times New Roman"/>
          <w:b w:val="0"/>
          <w:i w:val="0"/>
          <w:color w:val="000000"/>
          <w:sz w:val="24"/>
        </w:rPr>
        <w:t>2. /preprocessing: Sanitizes raw strings, normalizes ISO country entities into canonical Region_Key identifiers, imputes missing fields via historical forward-fill, and clips numeric outliers.</w:t>
      </w:r>
    </w:p>
    <w:p>
      <w:pPr>
        <w:spacing w:line="360" w:lineRule="auto" w:after="120"/>
        <w:jc w:val="both"/>
      </w:pPr>
      <w:r>
        <w:rPr>
          <w:rFonts w:ascii="Times New Roman" w:hAnsi="Times New Roman"/>
          <w:b w:val="0"/>
          <w:i w:val="0"/>
          <w:color w:val="000000"/>
          <w:sz w:val="24"/>
        </w:rPr>
        <w:t>3. /storage: Provides an abstraction layer over local relational storage (SQLite master_data.db in the demonstrator; PostgreSQL + PostGIS schema specified for production). Fact tables carry composite indices on (region_key, event_date).</w:t>
      </w:r>
    </w:p>
    <w:p>
      <w:pPr>
        <w:spacing w:line="360" w:lineRule="auto" w:after="120"/>
        <w:jc w:val="both"/>
      </w:pPr>
      <w:r>
        <w:rPr>
          <w:rFonts w:ascii="Times New Roman" w:hAnsi="Times New Roman"/>
          <w:b w:val="0"/>
          <w:i w:val="0"/>
          <w:color w:val="000000"/>
          <w:sz w:val="24"/>
        </w:rPr>
        <w:t>4. /features: Executes rolling window transformations (W ∈ {7, 14, 30} days) generating mathematical features for event acceleration, tone volatility, protest transition, and economic distress.</w:t>
      </w:r>
    </w:p>
    <w:p>
      <w:pPr>
        <w:spacing w:line="360" w:lineRule="auto" w:after="120"/>
        <w:jc w:val="both"/>
      </w:pPr>
      <w:r>
        <w:rPr>
          <w:rFonts w:ascii="Times New Roman" w:hAnsi="Times New Roman"/>
          <w:b w:val="0"/>
          <w:i w:val="0"/>
          <w:color w:val="000000"/>
          <w:sz w:val="24"/>
        </w:rPr>
        <w:t>5. /model: Computes the composite Sigmoid Z-Score risk score, executes Isolation Forest anomaly partitioning, and derives feature attribution rankings.</w:t>
      </w:r>
    </w:p>
    <w:p>
      <w:pPr>
        <w:spacing w:line="360" w:lineRule="auto" w:after="120"/>
        <w:jc w:val="both"/>
      </w:pPr>
      <w:r>
        <w:rPr>
          <w:rFonts w:ascii="Times New Roman" w:hAnsi="Times New Roman"/>
          <w:b w:val="0"/>
          <w:i w:val="0"/>
          <w:color w:val="000000"/>
          <w:sz w:val="24"/>
        </w:rPr>
        <w:t>6. /frontend and /api: Renders an interactive multi-view Streamlit dashboard (artifacts/ares-dashboard/app.py) providing mission status cards, regional heatmaps, interactive Plotly trendlines, and source evidence feeds, mirrored by an Express 5 TypeScript API monorepo.</w:t>
      </w:r>
    </w:p>
    <w:p>
      <w:pPr>
        <w:keepNext/>
        <w:pageBreakBefore/>
        <w:spacing w:before="360" w:after="160"/>
        <w:jc w:val="left"/>
      </w:pPr>
      <w:r>
        <w:rPr>
          <w:rFonts w:ascii="Times New Roman" w:hAnsi="Times New Roman"/>
          <w:b/>
          <w:color w:val="000000"/>
          <w:sz w:val="28"/>
        </w:rPr>
        <w:t>6. Data Sources and Geographic Harmonization</w:t>
      </w:r>
    </w:p>
    <w:p>
      <w:pPr>
        <w:spacing w:line="360" w:lineRule="auto" w:after="120"/>
        <w:jc w:val="both"/>
      </w:pPr>
      <w:r>
        <w:rPr>
          <w:rFonts w:ascii="Times New Roman" w:hAnsi="Times New Roman"/>
          <w:b w:val="0"/>
          <w:i w:val="0"/>
          <w:color w:val="000000"/>
          <w:sz w:val="24"/>
        </w:rPr>
        <w:t>ARES integrates 12 heterogeneous geopolitical, economic, and diplomatic data sources, reconciling point-coordinates, textual sentiment, and macroeconomic indicators.</w:t>
      </w:r>
    </w:p>
    <w:p>
      <w:pPr>
        <w:keepNext/>
        <w:spacing w:before="240" w:after="80"/>
        <w:jc w:val="left"/>
      </w:pPr>
      <w:r>
        <w:rPr>
          <w:rFonts w:ascii="Times New Roman" w:hAnsi="Times New Roman"/>
          <w:b/>
          <w:color w:val="000000"/>
          <w:sz w:val="24"/>
        </w:rPr>
        <w:t>Geographic Harmonization via Canonical Region_Key</w:t>
      </w:r>
    </w:p>
    <w:p>
      <w:pPr>
        <w:spacing w:line="360" w:lineRule="auto" w:after="120"/>
        <w:jc w:val="both"/>
      </w:pPr>
      <w:r>
        <w:rPr>
          <w:rFonts w:ascii="Times New Roman" w:hAnsi="Times New Roman"/>
          <w:b w:val="0"/>
          <w:i w:val="0"/>
          <w:color w:val="000000"/>
          <w:sz w:val="24"/>
        </w:rPr>
        <w:t>To resolve spatial incompatibility between point-coordinates (latitude and longitude) and national or regional reporting, ARES implements a canonical Region_Key schema. Two strategic zones are enforced: Zone A (The Conflict Theater — 16 core Indo-Pacific nations monitored at high resolution for kinetic and narrative shifts) and Zone B (The Influence Sphere — major external powers monitored for distal causal policy shifts, sanctions, and arms deals). Point coordinates are resolved to bounding polygons during ingestion, while unstructured text references are normalized to standardized atomic keys (e.g., ZoneA_IND, ZoneA_CHN).</w:t>
      </w:r>
    </w:p>
    <w:p>
      <w:pPr>
        <w:keepNext/>
        <w:spacing w:before="240" w:after="80"/>
        <w:jc w:val="left"/>
      </w:pPr>
      <w:r>
        <w:rPr>
          <w:rFonts w:ascii="Times New Roman" w:hAnsi="Times New Roman"/>
          <w:b/>
          <w:color w:val="000000"/>
          <w:sz w:val="24"/>
        </w:rPr>
        <w:t>Temporal Resolution Alignment</w:t>
      </w:r>
    </w:p>
    <w:p>
      <w:pPr>
        <w:spacing w:line="360" w:lineRule="auto" w:after="120"/>
        <w:jc w:val="both"/>
      </w:pPr>
      <w:r>
        <w:rPr>
          <w:rFonts w:ascii="Times New Roman" w:hAnsi="Times New Roman"/>
          <w:b w:val="0"/>
          <w:i w:val="0"/>
          <w:color w:val="000000"/>
          <w:sz w:val="24"/>
        </w:rPr>
        <w:t>To synchronize high-frequency daily event and sentiment data with quarterly macroeconomic statistics, ARES employs a step-wise constant backward-fill (carry-forward) strategy. Macroeconomic indicators (GDP, CPI, Unemployment) establish a static structural baseline vulnerability score for a region across a 90-day calendar quarter. High-frequency daily event counts and sentiment shocks are then computed as dynamic deviations over this structural baseline.</w:t>
      </w:r>
    </w:p>
    <w:p>
      <w:pPr>
        <w:keepNext/>
        <w:pageBreakBefore/>
        <w:spacing w:before="240" w:after="80"/>
        <w:jc w:val="left"/>
      </w:pPr>
      <w:r>
        <w:rPr>
          <w:rFonts w:ascii="Times New Roman" w:hAnsi="Times New Roman"/>
          <w:b/>
          <w:color w:val="000000"/>
          <w:sz w:val="20"/>
        </w:rPr>
        <w:t>TABLE II — DATA SOURCES, OPERATIONAL COVERAGE, AND LICENSING CONSTRAINTS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D0D0D0"/>
          <w:insideV w:val="none"/>
        </w:tblBorders>
      </w:tblPr>
      <w:tblGrid>
        <w:gridCol w:w="1806"/>
        <w:gridCol w:w="1806"/>
        <w:gridCol w:w="1806"/>
        <w:gridCol w:w="1806"/>
        <w:gridCol w:w="1806"/>
      </w:tblGrid>
      <w:tr>
        <w:trPr>
          <w:tblHeader/>
          <w:cantSplit/>
        </w:trPr>
        <w:tc>
          <w:tcPr>
            <w:tcW w:type="dxa" w:w="1806"/>
            <w:tcBorders>
              <w:bottom w:val="single" w:sz="8" w:space="0" w:color="000000"/>
            </w:tcBorders>
            <w:tcMar>
              <w:top w:w="60" w:type="dxa"/>
              <w:bottom w:w="60" w:type="dxa"/>
              <w:left w:w="60" w:type="dxa"/>
              <w:right w:w="60" w:type="dxa"/>
            </w:tcMar>
          </w:tcPr>
          <w:p>
            <w:pPr>
              <w:spacing w:line="276" w:lineRule="auto" w:after="40"/>
              <w:jc w:val="center"/>
            </w:pPr>
            <w:r>
              <w:rPr>
                <w:b/>
                <w:sz w:val="17"/>
              </w:rPr>
              <w:t>Source Name</w:t>
            </w:r>
          </w:p>
        </w:tc>
        <w:tc>
          <w:tcPr>
            <w:tcW w:type="dxa" w:w="1806"/>
            <w:tcBorders>
              <w:bottom w:val="single" w:sz="8" w:space="0" w:color="000000"/>
            </w:tcBorders>
            <w:tcMar>
              <w:top w:w="60" w:type="dxa"/>
              <w:bottom w:w="60" w:type="dxa"/>
              <w:left w:w="60" w:type="dxa"/>
              <w:right w:w="60" w:type="dxa"/>
            </w:tcMar>
          </w:tcPr>
          <w:p>
            <w:pPr>
              <w:spacing w:line="276" w:lineRule="auto" w:after="40"/>
              <w:jc w:val="center"/>
            </w:pPr>
            <w:r>
              <w:rPr>
                <w:b/>
                <w:sz w:val="17"/>
              </w:rPr>
              <w:t>Domain</w:t>
            </w:r>
          </w:p>
        </w:tc>
        <w:tc>
          <w:tcPr>
            <w:tcW w:type="dxa" w:w="1806"/>
            <w:tcBorders>
              <w:bottom w:val="single" w:sz="8" w:space="0" w:color="000000"/>
            </w:tcBorders>
            <w:tcMar>
              <w:top w:w="60" w:type="dxa"/>
              <w:bottom w:w="60" w:type="dxa"/>
              <w:left w:w="60" w:type="dxa"/>
              <w:right w:w="60" w:type="dxa"/>
            </w:tcMar>
          </w:tcPr>
          <w:p>
            <w:pPr>
              <w:spacing w:line="276" w:lineRule="auto" w:after="40"/>
              <w:jc w:val="center"/>
            </w:pPr>
            <w:r>
              <w:rPr>
                <w:b/>
                <w:sz w:val="17"/>
              </w:rPr>
              <w:t>Ingestion Modality</w:t>
            </w:r>
          </w:p>
        </w:tc>
        <w:tc>
          <w:tcPr>
            <w:tcW w:type="dxa" w:w="1806"/>
            <w:tcBorders>
              <w:bottom w:val="single" w:sz="8" w:space="0" w:color="000000"/>
            </w:tcBorders>
            <w:tcMar>
              <w:top w:w="60" w:type="dxa"/>
              <w:bottom w:w="60" w:type="dxa"/>
              <w:left w:w="60" w:type="dxa"/>
              <w:right w:w="60" w:type="dxa"/>
            </w:tcMar>
          </w:tcPr>
          <w:p>
            <w:pPr>
              <w:spacing w:line="276" w:lineRule="auto" w:after="40"/>
              <w:jc w:val="center"/>
            </w:pPr>
            <w:r>
              <w:rPr>
                <w:b/>
                <w:sz w:val="17"/>
              </w:rPr>
              <w:t>Reporting Cadence</w:t>
            </w:r>
          </w:p>
        </w:tc>
        <w:tc>
          <w:tcPr>
            <w:tcW w:type="dxa" w:w="1806"/>
            <w:tcBorders>
              <w:bottom w:val="single" w:sz="8" w:space="0" w:color="000000"/>
            </w:tcBorders>
            <w:tcMar>
              <w:top w:w="60" w:type="dxa"/>
              <w:bottom w:w="60" w:type="dxa"/>
              <w:left w:w="60" w:type="dxa"/>
              <w:right w:w="60" w:type="dxa"/>
            </w:tcMar>
          </w:tcPr>
          <w:p>
            <w:pPr>
              <w:spacing w:line="276" w:lineRule="auto" w:after="40"/>
              <w:jc w:val="center"/>
            </w:pPr>
            <w:r>
              <w:rPr>
                <w:b/>
                <w:sz w:val="17"/>
              </w:rPr>
              <w:t>Licensing &amp; Terms of Use</w:t>
            </w:r>
          </w:p>
        </w:tc>
      </w:tr>
      <w:tr>
        <w:trPr>
          <w:cantSplit/>
        </w:trPr>
        <w:tc>
          <w:tcPr>
            <w:tcW w:type="dxa" w:w="1806"/>
            <w:tcMar>
              <w:top w:w="45" w:type="dxa"/>
              <w:bottom w:w="45" w:type="dxa"/>
              <w:left w:w="60" w:type="dxa"/>
              <w:right w:w="60" w:type="dxa"/>
            </w:tcMar>
          </w:tcPr>
          <w:p>
            <w:pPr>
              <w:spacing w:line="264" w:lineRule="auto" w:after="20"/>
              <w:jc w:val="left"/>
            </w:pPr>
            <w:r>
              <w:rPr>
                <w:sz w:val="16"/>
              </w:rPr>
              <w:t>ACLED</w:t>
            </w:r>
          </w:p>
        </w:tc>
        <w:tc>
          <w:tcPr>
            <w:tcW w:type="dxa" w:w="1806"/>
            <w:tcMar>
              <w:top w:w="45" w:type="dxa"/>
              <w:bottom w:w="45" w:type="dxa"/>
              <w:left w:w="60" w:type="dxa"/>
              <w:right w:w="60" w:type="dxa"/>
            </w:tcMar>
          </w:tcPr>
          <w:p>
            <w:pPr>
              <w:spacing w:line="264" w:lineRule="auto" w:after="20"/>
              <w:jc w:val="left"/>
            </w:pPr>
            <w:r>
              <w:rPr>
                <w:sz w:val="16"/>
              </w:rPr>
              <w:t>Kinetic Conflict</w:t>
            </w:r>
          </w:p>
        </w:tc>
        <w:tc>
          <w:tcPr>
            <w:tcW w:type="dxa" w:w="1806"/>
            <w:tcMar>
              <w:top w:w="45" w:type="dxa"/>
              <w:bottom w:w="45" w:type="dxa"/>
              <w:left w:w="60" w:type="dxa"/>
              <w:right w:w="60" w:type="dxa"/>
            </w:tcMar>
          </w:tcPr>
          <w:p>
            <w:pPr>
              <w:spacing w:line="264" w:lineRule="auto" w:after="20"/>
              <w:jc w:val="left"/>
            </w:pPr>
            <w:r>
              <w:rPr>
                <w:sz w:val="16"/>
              </w:rPr>
              <w:t>Structured CSV / API</w:t>
            </w:r>
          </w:p>
        </w:tc>
        <w:tc>
          <w:tcPr>
            <w:tcW w:type="dxa" w:w="1806"/>
            <w:tcMar>
              <w:top w:w="45" w:type="dxa"/>
              <w:bottom w:w="45" w:type="dxa"/>
              <w:left w:w="60" w:type="dxa"/>
              <w:right w:w="60" w:type="dxa"/>
            </w:tcMar>
          </w:tcPr>
          <w:p>
            <w:pPr>
              <w:spacing w:line="264" w:lineRule="auto" w:after="20"/>
              <w:jc w:val="left"/>
            </w:pPr>
            <w:r>
              <w:rPr>
                <w:sz w:val="16"/>
              </w:rPr>
              <w:t>Weekly / Daily</w:t>
            </w:r>
          </w:p>
        </w:tc>
        <w:tc>
          <w:tcPr>
            <w:tcW w:type="dxa" w:w="1806"/>
            <w:tcMar>
              <w:top w:w="45" w:type="dxa"/>
              <w:bottom w:w="45" w:type="dxa"/>
              <w:left w:w="60" w:type="dxa"/>
              <w:right w:w="60" w:type="dxa"/>
            </w:tcMar>
          </w:tcPr>
          <w:p>
            <w:pPr>
              <w:spacing w:line="264" w:lineRule="auto" w:after="20"/>
              <w:jc w:val="left"/>
            </w:pPr>
            <w:r>
              <w:rPr>
                <w:sz w:val="16"/>
              </w:rPr>
              <w:t>Academic non-commercial; mandatory attribution.</w:t>
            </w:r>
          </w:p>
        </w:tc>
      </w:tr>
      <w:tr>
        <w:trPr>
          <w:cantSplit/>
        </w:trPr>
        <w:tc>
          <w:tcPr>
            <w:tcW w:type="dxa" w:w="1806"/>
            <w:tcMar>
              <w:top w:w="45" w:type="dxa"/>
              <w:bottom w:w="45" w:type="dxa"/>
              <w:left w:w="60" w:type="dxa"/>
              <w:right w:w="60" w:type="dxa"/>
            </w:tcMar>
          </w:tcPr>
          <w:p>
            <w:pPr>
              <w:spacing w:line="264" w:lineRule="auto" w:after="20"/>
              <w:jc w:val="left"/>
            </w:pPr>
            <w:r>
              <w:rPr>
                <w:sz w:val="16"/>
              </w:rPr>
              <w:t>GDELT 2.0</w:t>
            </w:r>
          </w:p>
        </w:tc>
        <w:tc>
          <w:tcPr>
            <w:tcW w:type="dxa" w:w="1806"/>
            <w:tcMar>
              <w:top w:w="45" w:type="dxa"/>
              <w:bottom w:w="45" w:type="dxa"/>
              <w:left w:w="60" w:type="dxa"/>
              <w:right w:w="60" w:type="dxa"/>
            </w:tcMar>
          </w:tcPr>
          <w:p>
            <w:pPr>
              <w:spacing w:line="264" w:lineRule="auto" w:after="20"/>
              <w:jc w:val="left"/>
            </w:pPr>
            <w:r>
              <w:rPr>
                <w:sz w:val="16"/>
              </w:rPr>
              <w:t>Narrative Tone / Events</w:t>
            </w:r>
          </w:p>
        </w:tc>
        <w:tc>
          <w:tcPr>
            <w:tcW w:type="dxa" w:w="1806"/>
            <w:tcMar>
              <w:top w:w="45" w:type="dxa"/>
              <w:bottom w:w="45" w:type="dxa"/>
              <w:left w:w="60" w:type="dxa"/>
              <w:right w:w="60" w:type="dxa"/>
            </w:tcMar>
          </w:tcPr>
          <w:p>
            <w:pPr>
              <w:spacing w:line="264" w:lineRule="auto" w:after="20"/>
              <w:jc w:val="left"/>
            </w:pPr>
            <w:r>
              <w:rPr>
                <w:sz w:val="16"/>
              </w:rPr>
              <w:t>Live JSON REST API</w:t>
            </w:r>
          </w:p>
        </w:tc>
        <w:tc>
          <w:tcPr>
            <w:tcW w:type="dxa" w:w="1806"/>
            <w:tcMar>
              <w:top w:w="45" w:type="dxa"/>
              <w:bottom w:w="45" w:type="dxa"/>
              <w:left w:w="60" w:type="dxa"/>
              <w:right w:w="60" w:type="dxa"/>
            </w:tcMar>
          </w:tcPr>
          <w:p>
            <w:pPr>
              <w:spacing w:line="264" w:lineRule="auto" w:after="20"/>
              <w:jc w:val="left"/>
            </w:pPr>
            <w:r>
              <w:rPr>
                <w:sz w:val="16"/>
              </w:rPr>
              <w:t>15-minute stream</w:t>
            </w:r>
          </w:p>
        </w:tc>
        <w:tc>
          <w:tcPr>
            <w:tcW w:type="dxa" w:w="1806"/>
            <w:tcMar>
              <w:top w:w="45" w:type="dxa"/>
              <w:bottom w:w="45" w:type="dxa"/>
              <w:left w:w="60" w:type="dxa"/>
              <w:right w:w="60" w:type="dxa"/>
            </w:tcMar>
          </w:tcPr>
          <w:p>
            <w:pPr>
              <w:spacing w:line="264" w:lineRule="auto" w:after="20"/>
              <w:jc w:val="left"/>
            </w:pPr>
            <w:r>
              <w:rPr>
                <w:sz w:val="16"/>
              </w:rPr>
              <w:t>Open access / Public domain; attribution requested.</w:t>
            </w:r>
          </w:p>
        </w:tc>
      </w:tr>
      <w:tr>
        <w:trPr>
          <w:cantSplit/>
        </w:trPr>
        <w:tc>
          <w:tcPr>
            <w:tcW w:type="dxa" w:w="1806"/>
            <w:tcMar>
              <w:top w:w="45" w:type="dxa"/>
              <w:bottom w:w="45" w:type="dxa"/>
              <w:left w:w="60" w:type="dxa"/>
              <w:right w:w="60" w:type="dxa"/>
            </w:tcMar>
          </w:tcPr>
          <w:p>
            <w:pPr>
              <w:spacing w:line="264" w:lineRule="auto" w:after="20"/>
              <w:jc w:val="left"/>
            </w:pPr>
            <w:r>
              <w:rPr>
                <w:sz w:val="16"/>
              </w:rPr>
              <w:t>UCDP GED</w:t>
            </w:r>
          </w:p>
        </w:tc>
        <w:tc>
          <w:tcPr>
            <w:tcW w:type="dxa" w:w="1806"/>
            <w:tcMar>
              <w:top w:w="45" w:type="dxa"/>
              <w:bottom w:w="45" w:type="dxa"/>
              <w:left w:w="60" w:type="dxa"/>
              <w:right w:w="60" w:type="dxa"/>
            </w:tcMar>
          </w:tcPr>
          <w:p>
            <w:pPr>
              <w:spacing w:line="264" w:lineRule="auto" w:after="20"/>
              <w:jc w:val="left"/>
            </w:pPr>
            <w:r>
              <w:rPr>
                <w:sz w:val="16"/>
              </w:rPr>
              <w:t>Kinetic Conflict</w:t>
            </w:r>
          </w:p>
        </w:tc>
        <w:tc>
          <w:tcPr>
            <w:tcW w:type="dxa" w:w="1806"/>
            <w:tcMar>
              <w:top w:w="45" w:type="dxa"/>
              <w:bottom w:w="45" w:type="dxa"/>
              <w:left w:w="60" w:type="dxa"/>
              <w:right w:w="60" w:type="dxa"/>
            </w:tcMar>
          </w:tcPr>
          <w:p>
            <w:pPr>
              <w:spacing w:line="264" w:lineRule="auto" w:after="20"/>
              <w:jc w:val="left"/>
            </w:pPr>
            <w:r>
              <w:rPr>
                <w:sz w:val="16"/>
              </w:rPr>
              <w:t>REST API / Static</w:t>
            </w:r>
          </w:p>
        </w:tc>
        <w:tc>
          <w:tcPr>
            <w:tcW w:type="dxa" w:w="1806"/>
            <w:tcMar>
              <w:top w:w="45" w:type="dxa"/>
              <w:bottom w:w="45" w:type="dxa"/>
              <w:left w:w="60" w:type="dxa"/>
              <w:right w:w="60" w:type="dxa"/>
            </w:tcMar>
          </w:tcPr>
          <w:p>
            <w:pPr>
              <w:spacing w:line="264" w:lineRule="auto" w:after="20"/>
              <w:jc w:val="left"/>
            </w:pPr>
            <w:r>
              <w:rPr>
                <w:sz w:val="16"/>
              </w:rPr>
              <w:t>Annual / Monthly</w:t>
            </w:r>
          </w:p>
        </w:tc>
        <w:tc>
          <w:tcPr>
            <w:tcW w:type="dxa" w:w="1806"/>
            <w:tcMar>
              <w:top w:w="45" w:type="dxa"/>
              <w:bottom w:w="45" w:type="dxa"/>
              <w:left w:w="60" w:type="dxa"/>
              <w:right w:w="60" w:type="dxa"/>
            </w:tcMar>
          </w:tcPr>
          <w:p>
            <w:pPr>
              <w:spacing w:line="264" w:lineRule="auto" w:after="20"/>
              <w:jc w:val="left"/>
            </w:pPr>
            <w:r>
              <w:rPr>
                <w:sz w:val="16"/>
              </w:rPr>
              <w:t>CC BY 4.0 open academic license.</w:t>
            </w:r>
          </w:p>
        </w:tc>
      </w:tr>
      <w:tr>
        <w:trPr>
          <w:cantSplit/>
        </w:trPr>
        <w:tc>
          <w:tcPr>
            <w:tcW w:type="dxa" w:w="1806"/>
            <w:tcMar>
              <w:top w:w="45" w:type="dxa"/>
              <w:bottom w:w="45" w:type="dxa"/>
              <w:left w:w="60" w:type="dxa"/>
              <w:right w:w="60" w:type="dxa"/>
            </w:tcMar>
          </w:tcPr>
          <w:p>
            <w:pPr>
              <w:spacing w:line="264" w:lineRule="auto" w:after="20"/>
              <w:jc w:val="left"/>
            </w:pPr>
            <w:r>
              <w:rPr>
                <w:sz w:val="16"/>
              </w:rPr>
              <w:t>ICEWS</w:t>
            </w:r>
          </w:p>
        </w:tc>
        <w:tc>
          <w:tcPr>
            <w:tcW w:type="dxa" w:w="1806"/>
            <w:tcMar>
              <w:top w:w="45" w:type="dxa"/>
              <w:bottom w:w="45" w:type="dxa"/>
              <w:left w:w="60" w:type="dxa"/>
              <w:right w:w="60" w:type="dxa"/>
            </w:tcMar>
          </w:tcPr>
          <w:p>
            <w:pPr>
              <w:spacing w:line="264" w:lineRule="auto" w:after="20"/>
              <w:jc w:val="left"/>
            </w:pPr>
            <w:r>
              <w:rPr>
                <w:sz w:val="16"/>
              </w:rPr>
              <w:t>Crisis Events</w:t>
            </w:r>
          </w:p>
        </w:tc>
        <w:tc>
          <w:tcPr>
            <w:tcW w:type="dxa" w:w="1806"/>
            <w:tcMar>
              <w:top w:w="45" w:type="dxa"/>
              <w:bottom w:w="45" w:type="dxa"/>
              <w:left w:w="60" w:type="dxa"/>
              <w:right w:w="60" w:type="dxa"/>
            </w:tcMar>
          </w:tcPr>
          <w:p>
            <w:pPr>
              <w:spacing w:line="264" w:lineRule="auto" w:after="20"/>
              <w:jc w:val="left"/>
            </w:pPr>
            <w:r>
              <w:rPr>
                <w:sz w:val="16"/>
              </w:rPr>
              <w:t>Harvard Dataverse</w:t>
            </w:r>
          </w:p>
        </w:tc>
        <w:tc>
          <w:tcPr>
            <w:tcW w:type="dxa" w:w="1806"/>
            <w:tcMar>
              <w:top w:w="45" w:type="dxa"/>
              <w:bottom w:w="45" w:type="dxa"/>
              <w:left w:w="60" w:type="dxa"/>
              <w:right w:w="60" w:type="dxa"/>
            </w:tcMar>
          </w:tcPr>
          <w:p>
            <w:pPr>
              <w:spacing w:line="264" w:lineRule="auto" w:after="20"/>
              <w:jc w:val="left"/>
            </w:pPr>
            <w:r>
              <w:rPr>
                <w:sz w:val="16"/>
              </w:rPr>
              <w:t>Historical</w:t>
            </w:r>
          </w:p>
        </w:tc>
        <w:tc>
          <w:tcPr>
            <w:tcW w:type="dxa" w:w="1806"/>
            <w:tcMar>
              <w:top w:w="45" w:type="dxa"/>
              <w:bottom w:w="45" w:type="dxa"/>
              <w:left w:w="60" w:type="dxa"/>
              <w:right w:w="60" w:type="dxa"/>
            </w:tcMar>
          </w:tcPr>
          <w:p>
            <w:pPr>
              <w:spacing w:line="264" w:lineRule="auto" w:after="20"/>
              <w:jc w:val="left"/>
            </w:pPr>
            <w:r>
              <w:rPr>
                <w:sz w:val="16"/>
              </w:rPr>
              <w:t>Open research data; Harvard Dataverse terms.</w:t>
            </w:r>
          </w:p>
        </w:tc>
      </w:tr>
      <w:tr>
        <w:trPr>
          <w:cantSplit/>
        </w:trPr>
        <w:tc>
          <w:tcPr>
            <w:tcW w:type="dxa" w:w="1806"/>
            <w:tcMar>
              <w:top w:w="45" w:type="dxa"/>
              <w:bottom w:w="45" w:type="dxa"/>
              <w:left w:w="60" w:type="dxa"/>
              <w:right w:w="60" w:type="dxa"/>
            </w:tcMar>
          </w:tcPr>
          <w:p>
            <w:pPr>
              <w:spacing w:line="264" w:lineRule="auto" w:after="20"/>
              <w:jc w:val="left"/>
            </w:pPr>
            <w:r>
              <w:rPr>
                <w:sz w:val="16"/>
              </w:rPr>
              <w:t>World Bank API</w:t>
            </w:r>
          </w:p>
        </w:tc>
        <w:tc>
          <w:tcPr>
            <w:tcW w:type="dxa" w:w="1806"/>
            <w:tcMar>
              <w:top w:w="45" w:type="dxa"/>
              <w:bottom w:w="45" w:type="dxa"/>
              <w:left w:w="60" w:type="dxa"/>
              <w:right w:w="60" w:type="dxa"/>
            </w:tcMar>
          </w:tcPr>
          <w:p>
            <w:pPr>
              <w:spacing w:line="264" w:lineRule="auto" w:after="20"/>
              <w:jc w:val="left"/>
            </w:pPr>
            <w:r>
              <w:rPr>
                <w:sz w:val="16"/>
              </w:rPr>
              <w:t>Macroeconomics</w:t>
            </w:r>
          </w:p>
        </w:tc>
        <w:tc>
          <w:tcPr>
            <w:tcW w:type="dxa" w:w="1806"/>
            <w:tcMar>
              <w:top w:w="45" w:type="dxa"/>
              <w:bottom w:w="45" w:type="dxa"/>
              <w:left w:w="60" w:type="dxa"/>
              <w:right w:w="60" w:type="dxa"/>
            </w:tcMar>
          </w:tcPr>
          <w:p>
            <w:pPr>
              <w:spacing w:line="264" w:lineRule="auto" w:after="20"/>
              <w:jc w:val="left"/>
            </w:pPr>
            <w:r>
              <w:rPr>
                <w:sz w:val="16"/>
              </w:rPr>
              <w:t>Live REST API</w:t>
            </w:r>
          </w:p>
        </w:tc>
        <w:tc>
          <w:tcPr>
            <w:tcW w:type="dxa" w:w="1806"/>
            <w:tcMar>
              <w:top w:w="45" w:type="dxa"/>
              <w:bottom w:w="45" w:type="dxa"/>
              <w:left w:w="60" w:type="dxa"/>
              <w:right w:w="60" w:type="dxa"/>
            </w:tcMar>
          </w:tcPr>
          <w:p>
            <w:pPr>
              <w:spacing w:line="264" w:lineRule="auto" w:after="20"/>
              <w:jc w:val="left"/>
            </w:pPr>
            <w:r>
              <w:rPr>
                <w:sz w:val="16"/>
              </w:rPr>
              <w:t>Annual / Quarterly</w:t>
            </w:r>
          </w:p>
        </w:tc>
        <w:tc>
          <w:tcPr>
            <w:tcW w:type="dxa" w:w="1806"/>
            <w:tcMar>
              <w:top w:w="45" w:type="dxa"/>
              <w:bottom w:w="45" w:type="dxa"/>
              <w:left w:w="60" w:type="dxa"/>
              <w:right w:w="60" w:type="dxa"/>
            </w:tcMar>
          </w:tcPr>
          <w:p>
            <w:pPr>
              <w:spacing w:line="264" w:lineRule="auto" w:after="20"/>
              <w:jc w:val="left"/>
            </w:pPr>
            <w:r>
              <w:rPr>
                <w:sz w:val="16"/>
              </w:rPr>
              <w:t>CC BY 4.0 Open Data.</w:t>
            </w:r>
          </w:p>
        </w:tc>
      </w:tr>
      <w:tr>
        <w:trPr>
          <w:cantSplit/>
        </w:trPr>
        <w:tc>
          <w:tcPr>
            <w:tcW w:type="dxa" w:w="1806"/>
            <w:tcMar>
              <w:top w:w="45" w:type="dxa"/>
              <w:bottom w:w="45" w:type="dxa"/>
              <w:left w:w="60" w:type="dxa"/>
              <w:right w:w="60" w:type="dxa"/>
            </w:tcMar>
          </w:tcPr>
          <w:p>
            <w:pPr>
              <w:spacing w:line="264" w:lineRule="auto" w:after="20"/>
              <w:jc w:val="left"/>
            </w:pPr>
            <w:r>
              <w:rPr>
                <w:sz w:val="16"/>
              </w:rPr>
              <w:t>IMF Datamapper</w:t>
            </w:r>
          </w:p>
        </w:tc>
        <w:tc>
          <w:tcPr>
            <w:tcW w:type="dxa" w:w="1806"/>
            <w:tcMar>
              <w:top w:w="45" w:type="dxa"/>
              <w:bottom w:w="45" w:type="dxa"/>
              <w:left w:w="60" w:type="dxa"/>
              <w:right w:w="60" w:type="dxa"/>
            </w:tcMar>
          </w:tcPr>
          <w:p>
            <w:pPr>
              <w:spacing w:line="264" w:lineRule="auto" w:after="20"/>
              <w:jc w:val="left"/>
            </w:pPr>
            <w:r>
              <w:rPr>
                <w:sz w:val="16"/>
              </w:rPr>
              <w:t>Macroeconomics</w:t>
            </w:r>
          </w:p>
        </w:tc>
        <w:tc>
          <w:tcPr>
            <w:tcW w:type="dxa" w:w="1806"/>
            <w:tcMar>
              <w:top w:w="45" w:type="dxa"/>
              <w:bottom w:w="45" w:type="dxa"/>
              <w:left w:w="60" w:type="dxa"/>
              <w:right w:w="60" w:type="dxa"/>
            </w:tcMar>
          </w:tcPr>
          <w:p>
            <w:pPr>
              <w:spacing w:line="264" w:lineRule="auto" w:after="20"/>
              <w:jc w:val="left"/>
            </w:pPr>
            <w:r>
              <w:rPr>
                <w:sz w:val="16"/>
              </w:rPr>
              <w:t>Live REST API</w:t>
            </w:r>
          </w:p>
        </w:tc>
        <w:tc>
          <w:tcPr>
            <w:tcW w:type="dxa" w:w="1806"/>
            <w:tcMar>
              <w:top w:w="45" w:type="dxa"/>
              <w:bottom w:w="45" w:type="dxa"/>
              <w:left w:w="60" w:type="dxa"/>
              <w:right w:w="60" w:type="dxa"/>
            </w:tcMar>
          </w:tcPr>
          <w:p>
            <w:pPr>
              <w:spacing w:line="264" w:lineRule="auto" w:after="20"/>
              <w:jc w:val="left"/>
            </w:pPr>
            <w:r>
              <w:rPr>
                <w:sz w:val="16"/>
              </w:rPr>
              <w:t>Bi-annual (WEO)</w:t>
            </w:r>
          </w:p>
        </w:tc>
        <w:tc>
          <w:tcPr>
            <w:tcW w:type="dxa" w:w="1806"/>
            <w:tcMar>
              <w:top w:w="45" w:type="dxa"/>
              <w:bottom w:w="45" w:type="dxa"/>
              <w:left w:w="60" w:type="dxa"/>
              <w:right w:w="60" w:type="dxa"/>
            </w:tcMar>
          </w:tcPr>
          <w:p>
            <w:pPr>
              <w:spacing w:line="264" w:lineRule="auto" w:after="20"/>
              <w:jc w:val="left"/>
            </w:pPr>
            <w:r>
              <w:rPr>
                <w:sz w:val="16"/>
              </w:rPr>
              <w:t>Open data with citation.</w:t>
            </w:r>
          </w:p>
        </w:tc>
      </w:tr>
      <w:tr>
        <w:trPr>
          <w:cantSplit/>
        </w:trPr>
        <w:tc>
          <w:tcPr>
            <w:tcW w:type="dxa" w:w="1806"/>
            <w:tcMar>
              <w:top w:w="45" w:type="dxa"/>
              <w:bottom w:w="45" w:type="dxa"/>
              <w:left w:w="60" w:type="dxa"/>
              <w:right w:w="60" w:type="dxa"/>
            </w:tcMar>
          </w:tcPr>
          <w:p>
            <w:pPr>
              <w:spacing w:line="264" w:lineRule="auto" w:after="20"/>
              <w:jc w:val="left"/>
            </w:pPr>
            <w:r>
              <w:rPr>
                <w:sz w:val="16"/>
              </w:rPr>
              <w:t>ReliefWeb</w:t>
            </w:r>
          </w:p>
        </w:tc>
        <w:tc>
          <w:tcPr>
            <w:tcW w:type="dxa" w:w="1806"/>
            <w:tcMar>
              <w:top w:w="45" w:type="dxa"/>
              <w:bottom w:w="45" w:type="dxa"/>
              <w:left w:w="60" w:type="dxa"/>
              <w:right w:w="60" w:type="dxa"/>
            </w:tcMar>
          </w:tcPr>
          <w:p>
            <w:pPr>
              <w:spacing w:line="264" w:lineRule="auto" w:after="20"/>
              <w:jc w:val="left"/>
            </w:pPr>
            <w:r>
              <w:rPr>
                <w:sz w:val="16"/>
              </w:rPr>
              <w:t>Humanitarian Crisis</w:t>
            </w:r>
          </w:p>
        </w:tc>
        <w:tc>
          <w:tcPr>
            <w:tcW w:type="dxa" w:w="1806"/>
            <w:tcMar>
              <w:top w:w="45" w:type="dxa"/>
              <w:bottom w:w="45" w:type="dxa"/>
              <w:left w:w="60" w:type="dxa"/>
              <w:right w:w="60" w:type="dxa"/>
            </w:tcMar>
          </w:tcPr>
          <w:p>
            <w:pPr>
              <w:spacing w:line="264" w:lineRule="auto" w:after="20"/>
              <w:jc w:val="left"/>
            </w:pPr>
            <w:r>
              <w:rPr>
                <w:sz w:val="16"/>
              </w:rPr>
              <w:t>Live REST API</w:t>
            </w:r>
          </w:p>
        </w:tc>
        <w:tc>
          <w:tcPr>
            <w:tcW w:type="dxa" w:w="1806"/>
            <w:tcMar>
              <w:top w:w="45" w:type="dxa"/>
              <w:bottom w:w="45" w:type="dxa"/>
              <w:left w:w="60" w:type="dxa"/>
              <w:right w:w="60" w:type="dxa"/>
            </w:tcMar>
          </w:tcPr>
          <w:p>
            <w:pPr>
              <w:spacing w:line="264" w:lineRule="auto" w:after="20"/>
              <w:jc w:val="left"/>
            </w:pPr>
            <w:r>
              <w:rPr>
                <w:sz w:val="16"/>
              </w:rPr>
              <w:t>Daily</w:t>
            </w:r>
          </w:p>
        </w:tc>
        <w:tc>
          <w:tcPr>
            <w:tcW w:type="dxa" w:w="1806"/>
            <w:tcMar>
              <w:top w:w="45" w:type="dxa"/>
              <w:bottom w:w="45" w:type="dxa"/>
              <w:left w:w="60" w:type="dxa"/>
              <w:right w:w="60" w:type="dxa"/>
            </w:tcMar>
          </w:tcPr>
          <w:p>
            <w:pPr>
              <w:spacing w:line="264" w:lineRule="auto" w:after="20"/>
              <w:jc w:val="left"/>
            </w:pPr>
            <w:r>
              <w:rPr>
                <w:sz w:val="16"/>
              </w:rPr>
              <w:t>CC BY 4.0 Open Humanitarian Data.</w:t>
            </w:r>
          </w:p>
        </w:tc>
      </w:tr>
      <w:tr>
        <w:trPr>
          <w:cantSplit/>
        </w:trPr>
        <w:tc>
          <w:tcPr>
            <w:tcW w:type="dxa" w:w="1806"/>
            <w:tcMar>
              <w:top w:w="45" w:type="dxa"/>
              <w:bottom w:w="45" w:type="dxa"/>
              <w:left w:w="60" w:type="dxa"/>
              <w:right w:w="60" w:type="dxa"/>
            </w:tcMar>
          </w:tcPr>
          <w:p>
            <w:pPr>
              <w:spacing w:line="264" w:lineRule="auto" w:after="20"/>
              <w:jc w:val="left"/>
            </w:pPr>
            <w:r>
              <w:rPr>
                <w:sz w:val="16"/>
              </w:rPr>
              <w:t>UN Sanctions</w:t>
            </w:r>
          </w:p>
        </w:tc>
        <w:tc>
          <w:tcPr>
            <w:tcW w:type="dxa" w:w="1806"/>
            <w:tcMar>
              <w:top w:w="45" w:type="dxa"/>
              <w:bottom w:w="45" w:type="dxa"/>
              <w:left w:w="60" w:type="dxa"/>
              <w:right w:w="60" w:type="dxa"/>
            </w:tcMar>
          </w:tcPr>
          <w:p>
            <w:pPr>
              <w:spacing w:line="264" w:lineRule="auto" w:after="20"/>
              <w:jc w:val="left"/>
            </w:pPr>
            <w:r>
              <w:rPr>
                <w:sz w:val="16"/>
              </w:rPr>
              <w:t>Diplomatic</w:t>
            </w:r>
          </w:p>
        </w:tc>
        <w:tc>
          <w:tcPr>
            <w:tcW w:type="dxa" w:w="1806"/>
            <w:tcMar>
              <w:top w:w="45" w:type="dxa"/>
              <w:bottom w:w="45" w:type="dxa"/>
              <w:left w:w="60" w:type="dxa"/>
              <w:right w:w="60" w:type="dxa"/>
            </w:tcMar>
          </w:tcPr>
          <w:p>
            <w:pPr>
              <w:spacing w:line="264" w:lineRule="auto" w:after="20"/>
              <w:jc w:val="left"/>
            </w:pPr>
            <w:r>
              <w:rPr>
                <w:sz w:val="16"/>
              </w:rPr>
              <w:t>Static Database</w:t>
            </w:r>
          </w:p>
        </w:tc>
        <w:tc>
          <w:tcPr>
            <w:tcW w:type="dxa" w:w="1806"/>
            <w:tcMar>
              <w:top w:w="45" w:type="dxa"/>
              <w:bottom w:w="45" w:type="dxa"/>
              <w:left w:w="60" w:type="dxa"/>
              <w:right w:w="60" w:type="dxa"/>
            </w:tcMar>
          </w:tcPr>
          <w:p>
            <w:pPr>
              <w:spacing w:line="264" w:lineRule="auto" w:after="20"/>
              <w:jc w:val="left"/>
            </w:pPr>
            <w:r>
              <w:rPr>
                <w:sz w:val="16"/>
              </w:rPr>
              <w:t>Semi-annual</w:t>
            </w:r>
          </w:p>
        </w:tc>
        <w:tc>
          <w:tcPr>
            <w:tcW w:type="dxa" w:w="1806"/>
            <w:tcMar>
              <w:top w:w="45" w:type="dxa"/>
              <w:bottom w:w="45" w:type="dxa"/>
              <w:left w:w="60" w:type="dxa"/>
              <w:right w:w="60" w:type="dxa"/>
            </w:tcMar>
          </w:tcPr>
          <w:p>
            <w:pPr>
              <w:spacing w:line="264" w:lineRule="auto" w:after="20"/>
              <w:jc w:val="left"/>
            </w:pPr>
            <w:r>
              <w:rPr>
                <w:sz w:val="16"/>
              </w:rPr>
              <w:t>UN public domain records.</w:t>
            </w:r>
          </w:p>
        </w:tc>
      </w:tr>
      <w:tr>
        <w:trPr>
          <w:cantSplit/>
        </w:trPr>
        <w:tc>
          <w:tcPr>
            <w:tcW w:type="dxa" w:w="1806"/>
            <w:tcMar>
              <w:top w:w="45" w:type="dxa"/>
              <w:bottom w:w="45" w:type="dxa"/>
              <w:left w:w="60" w:type="dxa"/>
              <w:right w:w="60" w:type="dxa"/>
            </w:tcMar>
          </w:tcPr>
          <w:p>
            <w:pPr>
              <w:spacing w:line="264" w:lineRule="auto" w:after="20"/>
              <w:jc w:val="left"/>
            </w:pPr>
            <w:r>
              <w:rPr>
                <w:sz w:val="16"/>
              </w:rPr>
              <w:t>UNGA Voting</w:t>
            </w:r>
          </w:p>
        </w:tc>
        <w:tc>
          <w:tcPr>
            <w:tcW w:type="dxa" w:w="1806"/>
            <w:tcMar>
              <w:top w:w="45" w:type="dxa"/>
              <w:bottom w:w="45" w:type="dxa"/>
              <w:left w:w="60" w:type="dxa"/>
              <w:right w:w="60" w:type="dxa"/>
            </w:tcMar>
          </w:tcPr>
          <w:p>
            <w:pPr>
              <w:spacing w:line="264" w:lineRule="auto" w:after="20"/>
              <w:jc w:val="left"/>
            </w:pPr>
            <w:r>
              <w:rPr>
                <w:sz w:val="16"/>
              </w:rPr>
              <w:t>Diplomatic</w:t>
            </w:r>
          </w:p>
        </w:tc>
        <w:tc>
          <w:tcPr>
            <w:tcW w:type="dxa" w:w="1806"/>
            <w:tcMar>
              <w:top w:w="45" w:type="dxa"/>
              <w:bottom w:w="45" w:type="dxa"/>
              <w:left w:w="60" w:type="dxa"/>
              <w:right w:w="60" w:type="dxa"/>
            </w:tcMar>
          </w:tcPr>
          <w:p>
            <w:pPr>
              <w:spacing w:line="264" w:lineRule="auto" w:after="20"/>
              <w:jc w:val="left"/>
            </w:pPr>
            <w:r>
              <w:rPr>
                <w:sz w:val="16"/>
              </w:rPr>
              <w:t>Static CSV</w:t>
            </w:r>
          </w:p>
        </w:tc>
        <w:tc>
          <w:tcPr>
            <w:tcW w:type="dxa" w:w="1806"/>
            <w:tcMar>
              <w:top w:w="45" w:type="dxa"/>
              <w:bottom w:w="45" w:type="dxa"/>
              <w:left w:w="60" w:type="dxa"/>
              <w:right w:w="60" w:type="dxa"/>
            </w:tcMar>
          </w:tcPr>
          <w:p>
            <w:pPr>
              <w:spacing w:line="264" w:lineRule="auto" w:after="20"/>
              <w:jc w:val="left"/>
            </w:pPr>
            <w:r>
              <w:rPr>
                <w:sz w:val="16"/>
              </w:rPr>
              <w:t>Annual</w:t>
            </w:r>
          </w:p>
        </w:tc>
        <w:tc>
          <w:tcPr>
            <w:tcW w:type="dxa" w:w="1806"/>
            <w:tcMar>
              <w:top w:w="45" w:type="dxa"/>
              <w:bottom w:w="45" w:type="dxa"/>
              <w:left w:w="60" w:type="dxa"/>
              <w:right w:w="60" w:type="dxa"/>
            </w:tcMar>
          </w:tcPr>
          <w:p>
            <w:pPr>
              <w:spacing w:line="264" w:lineRule="auto" w:after="20"/>
              <w:jc w:val="left"/>
            </w:pPr>
            <w:r>
              <w:rPr>
                <w:sz w:val="16"/>
              </w:rPr>
              <w:t>Open academic dataset.</w:t>
            </w:r>
          </w:p>
        </w:tc>
      </w:tr>
      <w:tr>
        <w:trPr>
          <w:cantSplit/>
        </w:trPr>
        <w:tc>
          <w:tcPr>
            <w:tcW w:type="dxa" w:w="1806"/>
            <w:tcMar>
              <w:top w:w="45" w:type="dxa"/>
              <w:bottom w:w="45" w:type="dxa"/>
              <w:left w:w="60" w:type="dxa"/>
              <w:right w:w="60" w:type="dxa"/>
            </w:tcMar>
          </w:tcPr>
          <w:p>
            <w:pPr>
              <w:spacing w:line="264" w:lineRule="auto" w:after="20"/>
              <w:jc w:val="left"/>
            </w:pPr>
            <w:r>
              <w:rPr>
                <w:sz w:val="16"/>
              </w:rPr>
              <w:t>SIPRI</w:t>
            </w:r>
          </w:p>
        </w:tc>
        <w:tc>
          <w:tcPr>
            <w:tcW w:type="dxa" w:w="1806"/>
            <w:tcMar>
              <w:top w:w="45" w:type="dxa"/>
              <w:bottom w:w="45" w:type="dxa"/>
              <w:left w:w="60" w:type="dxa"/>
              <w:right w:w="60" w:type="dxa"/>
            </w:tcMar>
          </w:tcPr>
          <w:p>
            <w:pPr>
              <w:spacing w:line="264" w:lineRule="auto" w:after="20"/>
              <w:jc w:val="left"/>
            </w:pPr>
            <w:r>
              <w:rPr>
                <w:sz w:val="16"/>
              </w:rPr>
              <w:t>Arms Transfers</w:t>
            </w:r>
          </w:p>
        </w:tc>
        <w:tc>
          <w:tcPr>
            <w:tcW w:type="dxa" w:w="1806"/>
            <w:tcMar>
              <w:top w:w="45" w:type="dxa"/>
              <w:bottom w:w="45" w:type="dxa"/>
              <w:left w:w="60" w:type="dxa"/>
              <w:right w:w="60" w:type="dxa"/>
            </w:tcMar>
          </w:tcPr>
          <w:p>
            <w:pPr>
              <w:spacing w:line="264" w:lineRule="auto" w:after="20"/>
              <w:jc w:val="left"/>
            </w:pPr>
            <w:r>
              <w:rPr>
                <w:sz w:val="16"/>
              </w:rPr>
              <w:t>Static Database</w:t>
            </w:r>
          </w:p>
        </w:tc>
        <w:tc>
          <w:tcPr>
            <w:tcW w:type="dxa" w:w="1806"/>
            <w:tcMar>
              <w:top w:w="45" w:type="dxa"/>
              <w:bottom w:w="45" w:type="dxa"/>
              <w:left w:w="60" w:type="dxa"/>
              <w:right w:w="60" w:type="dxa"/>
            </w:tcMar>
          </w:tcPr>
          <w:p>
            <w:pPr>
              <w:spacing w:line="264" w:lineRule="auto" w:after="20"/>
              <w:jc w:val="left"/>
            </w:pPr>
            <w:r>
              <w:rPr>
                <w:sz w:val="16"/>
              </w:rPr>
              <w:t>Annual</w:t>
            </w:r>
          </w:p>
        </w:tc>
        <w:tc>
          <w:tcPr>
            <w:tcW w:type="dxa" w:w="1806"/>
            <w:tcMar>
              <w:top w:w="45" w:type="dxa"/>
              <w:bottom w:w="45" w:type="dxa"/>
              <w:left w:w="60" w:type="dxa"/>
              <w:right w:w="60" w:type="dxa"/>
            </w:tcMar>
          </w:tcPr>
          <w:p>
            <w:pPr>
              <w:spacing w:line="264" w:lineRule="auto" w:after="20"/>
              <w:jc w:val="left"/>
            </w:pPr>
            <w:r>
              <w:rPr>
                <w:sz w:val="16"/>
              </w:rPr>
              <w:t>SIPRI open access policy; citation required.</w:t>
            </w:r>
          </w:p>
        </w:tc>
      </w:tr>
      <w:tr>
        <w:trPr>
          <w:cantSplit/>
        </w:trPr>
        <w:tc>
          <w:tcPr>
            <w:tcW w:type="dxa" w:w="1806"/>
            <w:tcMar>
              <w:top w:w="45" w:type="dxa"/>
              <w:bottom w:w="45" w:type="dxa"/>
              <w:left w:w="60" w:type="dxa"/>
              <w:right w:w="60" w:type="dxa"/>
            </w:tcMar>
          </w:tcPr>
          <w:p>
            <w:pPr>
              <w:spacing w:line="264" w:lineRule="auto" w:after="20"/>
              <w:jc w:val="left"/>
            </w:pPr>
            <w:r>
              <w:rPr>
                <w:sz w:val="16"/>
              </w:rPr>
              <w:t>GSDB</w:t>
            </w:r>
          </w:p>
        </w:tc>
        <w:tc>
          <w:tcPr>
            <w:tcW w:type="dxa" w:w="1806"/>
            <w:tcMar>
              <w:top w:w="45" w:type="dxa"/>
              <w:bottom w:w="45" w:type="dxa"/>
              <w:left w:w="60" w:type="dxa"/>
              <w:right w:w="60" w:type="dxa"/>
            </w:tcMar>
          </w:tcPr>
          <w:p>
            <w:pPr>
              <w:spacing w:line="264" w:lineRule="auto" w:after="20"/>
              <w:jc w:val="left"/>
            </w:pPr>
            <w:r>
              <w:rPr>
                <w:sz w:val="16"/>
              </w:rPr>
              <w:t>Sanctions</w:t>
            </w:r>
          </w:p>
        </w:tc>
        <w:tc>
          <w:tcPr>
            <w:tcW w:type="dxa" w:w="1806"/>
            <w:tcMar>
              <w:top w:w="45" w:type="dxa"/>
              <w:bottom w:w="45" w:type="dxa"/>
              <w:left w:w="60" w:type="dxa"/>
              <w:right w:w="60" w:type="dxa"/>
            </w:tcMar>
          </w:tcPr>
          <w:p>
            <w:pPr>
              <w:spacing w:line="264" w:lineRule="auto" w:after="20"/>
              <w:jc w:val="left"/>
            </w:pPr>
            <w:r>
              <w:rPr>
                <w:sz w:val="16"/>
              </w:rPr>
              <w:t>Static Database</w:t>
            </w:r>
          </w:p>
        </w:tc>
        <w:tc>
          <w:tcPr>
            <w:tcW w:type="dxa" w:w="1806"/>
            <w:tcMar>
              <w:top w:w="45" w:type="dxa"/>
              <w:bottom w:w="45" w:type="dxa"/>
              <w:left w:w="60" w:type="dxa"/>
              <w:right w:w="60" w:type="dxa"/>
            </w:tcMar>
          </w:tcPr>
          <w:p>
            <w:pPr>
              <w:spacing w:line="264" w:lineRule="auto" w:after="20"/>
              <w:jc w:val="left"/>
            </w:pPr>
            <w:r>
              <w:rPr>
                <w:sz w:val="16"/>
              </w:rPr>
              <w:t>Annual</w:t>
            </w:r>
          </w:p>
        </w:tc>
        <w:tc>
          <w:tcPr>
            <w:tcW w:type="dxa" w:w="1806"/>
            <w:tcMar>
              <w:top w:w="45" w:type="dxa"/>
              <w:bottom w:w="45" w:type="dxa"/>
              <w:left w:w="60" w:type="dxa"/>
              <w:right w:w="60" w:type="dxa"/>
            </w:tcMar>
          </w:tcPr>
          <w:p>
            <w:pPr>
              <w:spacing w:line="264" w:lineRule="auto" w:after="20"/>
              <w:jc w:val="left"/>
            </w:pPr>
            <w:r>
              <w:rPr>
                <w:sz w:val="16"/>
              </w:rPr>
              <w:t>Global Sanctions Database; academic open access.</w:t>
            </w:r>
          </w:p>
        </w:tc>
      </w:tr>
      <w:tr>
        <w:trPr>
          <w:cantSplit/>
        </w:trPr>
        <w:tc>
          <w:tcPr>
            <w:tcW w:type="dxa" w:w="1806"/>
            <w:tcMar>
              <w:top w:w="45" w:type="dxa"/>
              <w:bottom w:w="45" w:type="dxa"/>
              <w:left w:w="60" w:type="dxa"/>
              <w:right w:w="60" w:type="dxa"/>
            </w:tcMar>
          </w:tcPr>
          <w:p>
            <w:pPr>
              <w:spacing w:line="264" w:lineRule="auto" w:after="20"/>
              <w:jc w:val="left"/>
            </w:pPr>
            <w:r>
              <w:rPr>
                <w:sz w:val="16"/>
              </w:rPr>
              <w:t>Exchange Rates</w:t>
            </w:r>
          </w:p>
        </w:tc>
        <w:tc>
          <w:tcPr>
            <w:tcW w:type="dxa" w:w="1806"/>
            <w:tcMar>
              <w:top w:w="45" w:type="dxa"/>
              <w:bottom w:w="45" w:type="dxa"/>
              <w:left w:w="60" w:type="dxa"/>
              <w:right w:w="60" w:type="dxa"/>
            </w:tcMar>
          </w:tcPr>
          <w:p>
            <w:pPr>
              <w:spacing w:line="264" w:lineRule="auto" w:after="20"/>
              <w:jc w:val="left"/>
            </w:pPr>
            <w:r>
              <w:rPr>
                <w:sz w:val="16"/>
              </w:rPr>
              <w:t>Currency Volatility</w:t>
            </w:r>
          </w:p>
        </w:tc>
        <w:tc>
          <w:tcPr>
            <w:tcW w:type="dxa" w:w="1806"/>
            <w:tcMar>
              <w:top w:w="45" w:type="dxa"/>
              <w:bottom w:w="45" w:type="dxa"/>
              <w:left w:w="60" w:type="dxa"/>
              <w:right w:w="60" w:type="dxa"/>
            </w:tcMar>
          </w:tcPr>
          <w:p>
            <w:pPr>
              <w:spacing w:line="264" w:lineRule="auto" w:after="20"/>
              <w:jc w:val="left"/>
            </w:pPr>
            <w:r>
              <w:rPr>
                <w:sz w:val="16"/>
              </w:rPr>
              <w:t>Live REST API</w:t>
            </w:r>
          </w:p>
        </w:tc>
        <w:tc>
          <w:tcPr>
            <w:tcW w:type="dxa" w:w="1806"/>
            <w:tcMar>
              <w:top w:w="45" w:type="dxa"/>
              <w:bottom w:w="45" w:type="dxa"/>
              <w:left w:w="60" w:type="dxa"/>
              <w:right w:w="60" w:type="dxa"/>
            </w:tcMar>
          </w:tcPr>
          <w:p>
            <w:pPr>
              <w:spacing w:line="264" w:lineRule="auto" w:after="20"/>
              <w:jc w:val="left"/>
            </w:pPr>
            <w:r>
              <w:rPr>
                <w:sz w:val="16"/>
              </w:rPr>
              <w:t>Daily</w:t>
            </w:r>
          </w:p>
        </w:tc>
        <w:tc>
          <w:tcPr>
            <w:tcW w:type="dxa" w:w="1806"/>
            <w:tcMar>
              <w:top w:w="45" w:type="dxa"/>
              <w:bottom w:w="45" w:type="dxa"/>
              <w:left w:w="60" w:type="dxa"/>
              <w:right w:w="60" w:type="dxa"/>
            </w:tcMar>
          </w:tcPr>
          <w:p>
            <w:pPr>
              <w:spacing w:line="264" w:lineRule="auto" w:after="20"/>
              <w:jc w:val="left"/>
            </w:pPr>
            <w:r>
              <w:rPr>
                <w:sz w:val="16"/>
              </w:rPr>
              <w:t>Open financial exchange APIs.</w:t>
            </w:r>
          </w:p>
        </w:tc>
      </w:tr>
    </w:tbl>
    <w:p>
      <w:pPr>
        <w:keepNext/>
        <w:pageBreakBefore/>
        <w:spacing w:before="360" w:after="160"/>
        <w:jc w:val="left"/>
      </w:pPr>
      <w:r>
        <w:rPr>
          <w:rFonts w:ascii="Times New Roman" w:hAnsi="Times New Roman"/>
          <w:b/>
          <w:color w:val="000000"/>
          <w:sz w:val="28"/>
        </w:rPr>
        <w:t>7. Feature Engineering and Risk Scoring</w:t>
      </w:r>
    </w:p>
    <w:p>
      <w:pPr>
        <w:spacing w:line="360" w:lineRule="auto" w:after="120"/>
        <w:jc w:val="both"/>
      </w:pPr>
      <w:r>
        <w:rPr>
          <w:rFonts w:ascii="Times New Roman" w:hAnsi="Times New Roman"/>
          <w:b w:val="0"/>
          <w:i w:val="0"/>
          <w:color w:val="000000"/>
          <w:sz w:val="24"/>
        </w:rPr>
        <w:t>ARES extracts 5 primary rolling features per region over lookback windows W ∈ {7, 14, 30} days:</w:t>
      </w:r>
    </w:p>
    <w:p>
      <w:pPr>
        <w:keepNext/>
        <w:spacing w:before="240" w:after="80"/>
        <w:jc w:val="left"/>
      </w:pPr>
      <w:r>
        <w:rPr>
          <w:rFonts w:ascii="Times New Roman" w:hAnsi="Times New Roman"/>
          <w:b/>
          <w:color w:val="000000"/>
          <w:sz w:val="24"/>
        </w:rPr>
        <w:t>7.1 Event Acceleration</w:t>
      </w:r>
    </w:p>
    <w:p>
      <w:pPr>
        <w:spacing w:line="360" w:lineRule="auto" w:after="120"/>
        <w:jc w:val="both"/>
      </w:pPr>
      <w:r>
        <w:rPr>
          <w:rFonts w:ascii="Times New Roman" w:hAnsi="Times New Roman"/>
          <w:b w:val="0"/>
          <w:i w:val="0"/>
          <w:color w:val="000000"/>
          <w:sz w:val="24"/>
        </w:rPr>
        <w:t>Captures surges in kinetic frequency relative to historical baselines. Denominator is bounded by max(·, 1) to eliminate division-by-zero errors when historical baseline is zero:</w:t>
      </w:r>
    </w:p>
    <w:tbl>
      <w:tblPr>
        <w:tblW w:type="auto" w:w="0"/>
        <w:jc w:val="center"/>
        <w:tblLayout w:type="fixed"/>
        <w:tblLook w:firstColumn="1" w:firstRow="1" w:lastColumn="0" w:lastRow="0" w:noHBand="0" w:noVBand="1" w:val="04A0"/>
      </w:tblPr>
      <w:tblGrid>
        <w:gridCol w:w="8064"/>
        <w:gridCol w:w="965"/>
      </w:tblGrid>
      <w:tr>
        <w:tc>
          <w:tcPr>
            <w:tcW w:type="dxa" w:w="4514"/>
            <w:tcBorders>
              <w:top w:val="none"/>
              <w:left w:val="none"/>
              <w:bottom w:val="none"/>
              <w:right w:val="none"/>
            </w:tcBorders>
          </w:tcPr>
          <w:p>
            <w:pPr>
              <w:spacing w:line="276" w:lineRule="auto" w:after="40"/>
              <w:jc w:val="center"/>
            </w:pPr>
            <w:r>
              <w:rPr>
                <w:rFonts w:ascii="Times New Roman" w:hAnsi="Times New Roman"/>
                <w:i/>
                <w:color w:val="000000"/>
                <w:sz w:val="22"/>
              </w:rPr>
              <w:t>A(t) = [ E_W(t) - E_W(t - W) ] / max(E_W(t - W), 1)</w:t>
            </w:r>
          </w:p>
        </w:tc>
        <w:tc>
          <w:tcPr>
            <w:tcW w:type="dxa" w:w="4514"/>
            <w:tcBorders>
              <w:top w:val="none"/>
              <w:left w:val="none"/>
              <w:bottom w:val="none"/>
              <w:right w:val="none"/>
            </w:tcBorders>
          </w:tcPr>
          <w:p>
            <w:pPr>
              <w:spacing w:line="276" w:lineRule="auto" w:after="40"/>
              <w:jc w:val="right"/>
            </w:pPr>
            <w:r>
              <w:rPr>
                <w:rFonts w:ascii="Times New Roman" w:hAnsi="Times New Roman"/>
                <w:b/>
                <w:color w:val="000000"/>
                <w:sz w:val="22"/>
              </w:rPr>
              <w:t>(1)</w:t>
            </w:r>
          </w:p>
        </w:tc>
      </w:tr>
    </w:tbl>
    <w:p>
      <w:pPr>
        <w:spacing w:after="80" w:line="240" w:lineRule="auto"/>
      </w:pPr>
    </w:p>
    <w:p>
      <w:pPr>
        <w:keepNext/>
        <w:spacing w:before="240" w:after="80"/>
        <w:jc w:val="left"/>
      </w:pPr>
      <w:r>
        <w:rPr>
          <w:rFonts w:ascii="Times New Roman" w:hAnsi="Times New Roman"/>
          <w:b/>
          <w:color w:val="000000"/>
          <w:sz w:val="24"/>
        </w:rPr>
        <w:t>7.2 Sentiment Volatility</w:t>
      </w:r>
    </w:p>
    <w:p>
      <w:pPr>
        <w:spacing w:line="360" w:lineRule="auto" w:after="120"/>
        <w:jc w:val="both"/>
      </w:pPr>
      <w:r>
        <w:rPr>
          <w:rFonts w:ascii="Times New Roman" w:hAnsi="Times New Roman"/>
          <w:b w:val="0"/>
          <w:i w:val="0"/>
          <w:color w:val="000000"/>
          <w:sz w:val="24"/>
        </w:rPr>
        <w:t>Quantifies narrative polarization and media volatility over N news articles within the rolling window W. Defaults to 0.0 for N ≤ 1:</w:t>
      </w:r>
    </w:p>
    <w:tbl>
      <w:tblPr>
        <w:tblW w:type="auto" w:w="0"/>
        <w:jc w:val="center"/>
        <w:tblLayout w:type="fixed"/>
        <w:tblLook w:firstColumn="1" w:firstRow="1" w:lastColumn="0" w:lastRow="0" w:noHBand="0" w:noVBand="1" w:val="04A0"/>
      </w:tblPr>
      <w:tblGrid>
        <w:gridCol w:w="8064"/>
        <w:gridCol w:w="965"/>
      </w:tblGrid>
      <w:tr>
        <w:tc>
          <w:tcPr>
            <w:tcW w:type="dxa" w:w="4514"/>
            <w:tcBorders>
              <w:top w:val="none"/>
              <w:left w:val="none"/>
              <w:bottom w:val="none"/>
              <w:right w:val="none"/>
            </w:tcBorders>
          </w:tcPr>
          <w:p>
            <w:pPr>
              <w:spacing w:line="276" w:lineRule="auto" w:after="40"/>
              <w:jc w:val="center"/>
            </w:pPr>
            <w:r>
              <w:rPr>
                <w:rFonts w:ascii="Times New Roman" w:hAnsi="Times New Roman"/>
                <w:i/>
                <w:color w:val="000000"/>
                <w:sz w:val="22"/>
              </w:rPr>
              <w:t>σ_tone = sqrt( [1 / max(N - 1, 1)] · ∑_{i=1}^N (Tone_i - Tone_avg)^2 )</w:t>
            </w:r>
          </w:p>
        </w:tc>
        <w:tc>
          <w:tcPr>
            <w:tcW w:type="dxa" w:w="4514"/>
            <w:tcBorders>
              <w:top w:val="none"/>
              <w:left w:val="none"/>
              <w:bottom w:val="none"/>
              <w:right w:val="none"/>
            </w:tcBorders>
          </w:tcPr>
          <w:p>
            <w:pPr>
              <w:spacing w:line="276" w:lineRule="auto" w:after="40"/>
              <w:jc w:val="right"/>
            </w:pPr>
            <w:r>
              <w:rPr>
                <w:rFonts w:ascii="Times New Roman" w:hAnsi="Times New Roman"/>
                <w:b/>
                <w:color w:val="000000"/>
                <w:sz w:val="22"/>
              </w:rPr>
              <w:t>(2)</w:t>
            </w:r>
          </w:p>
        </w:tc>
      </w:tr>
    </w:tbl>
    <w:p>
      <w:pPr>
        <w:spacing w:after="80" w:line="240" w:lineRule="auto"/>
      </w:pPr>
    </w:p>
    <w:p>
      <w:pPr>
        <w:keepNext/>
        <w:spacing w:before="240" w:after="80"/>
        <w:jc w:val="left"/>
      </w:pPr>
      <w:r>
        <w:rPr>
          <w:rFonts w:ascii="Times New Roman" w:hAnsi="Times New Roman"/>
          <w:b/>
          <w:color w:val="000000"/>
          <w:sz w:val="24"/>
        </w:rPr>
        <w:t>7.3 Protest-to-Violence Transition Ratio</w:t>
      </w:r>
    </w:p>
    <w:p>
      <w:pPr>
        <w:spacing w:line="360" w:lineRule="auto" w:after="120"/>
        <w:jc w:val="both"/>
      </w:pPr>
      <w:r>
        <w:rPr>
          <w:rFonts w:ascii="Times New Roman" w:hAnsi="Times New Roman"/>
          <w:b w:val="0"/>
          <w:i w:val="0"/>
          <w:color w:val="000000"/>
          <w:sz w:val="24"/>
        </w:rPr>
        <w:t>Tracks the structural transition from peaceful civil demonstration (R_pv → 1) to kinetic clash (R_pv → 0). The inverted term (1 - R_pv) acts as the escalation penalty:</w:t>
      </w:r>
    </w:p>
    <w:tbl>
      <w:tblPr>
        <w:tblW w:type="auto" w:w="0"/>
        <w:jc w:val="center"/>
        <w:tblLayout w:type="fixed"/>
        <w:tblLook w:firstColumn="1" w:firstRow="1" w:lastColumn="0" w:lastRow="0" w:noHBand="0" w:noVBand="1" w:val="04A0"/>
      </w:tblPr>
      <w:tblGrid>
        <w:gridCol w:w="8064"/>
        <w:gridCol w:w="965"/>
      </w:tblGrid>
      <w:tr>
        <w:tc>
          <w:tcPr>
            <w:tcW w:type="dxa" w:w="4514"/>
            <w:tcBorders>
              <w:top w:val="none"/>
              <w:left w:val="none"/>
              <w:bottom w:val="none"/>
              <w:right w:val="none"/>
            </w:tcBorders>
          </w:tcPr>
          <w:p>
            <w:pPr>
              <w:spacing w:line="276" w:lineRule="auto" w:after="40"/>
              <w:jc w:val="center"/>
            </w:pPr>
            <w:r>
              <w:rPr>
                <w:rFonts w:ascii="Times New Roman" w:hAnsi="Times New Roman"/>
                <w:i/>
                <w:color w:val="000000"/>
                <w:sz w:val="22"/>
              </w:rPr>
              <w:t>R_pv = Count(Protests) / max(Count(Protests) + Count(Violent Events), 1)</w:t>
            </w:r>
          </w:p>
        </w:tc>
        <w:tc>
          <w:tcPr>
            <w:tcW w:type="dxa" w:w="4514"/>
            <w:tcBorders>
              <w:top w:val="none"/>
              <w:left w:val="none"/>
              <w:bottom w:val="none"/>
              <w:right w:val="none"/>
            </w:tcBorders>
          </w:tcPr>
          <w:p>
            <w:pPr>
              <w:spacing w:line="276" w:lineRule="auto" w:after="40"/>
              <w:jc w:val="right"/>
            </w:pPr>
            <w:r>
              <w:rPr>
                <w:rFonts w:ascii="Times New Roman" w:hAnsi="Times New Roman"/>
                <w:b/>
                <w:color w:val="000000"/>
                <w:sz w:val="22"/>
              </w:rPr>
              <w:t>(3)</w:t>
            </w:r>
          </w:p>
        </w:tc>
      </w:tr>
    </w:tbl>
    <w:p>
      <w:pPr>
        <w:spacing w:after="80" w:line="240" w:lineRule="auto"/>
      </w:pPr>
    </w:p>
    <w:p>
      <w:pPr>
        <w:keepNext/>
        <w:spacing w:before="240" w:after="80"/>
        <w:jc w:val="left"/>
      </w:pPr>
      <w:r>
        <w:rPr>
          <w:rFonts w:ascii="Times New Roman" w:hAnsi="Times New Roman"/>
          <w:b/>
          <w:color w:val="000000"/>
          <w:sz w:val="24"/>
        </w:rPr>
        <w:t>7.4 Macroeconomic Stress Gradient</w:t>
      </w:r>
    </w:p>
    <w:p>
      <w:pPr>
        <w:spacing w:line="360" w:lineRule="auto" w:after="120"/>
        <w:jc w:val="both"/>
      </w:pPr>
      <w:r>
        <w:rPr>
          <w:rFonts w:ascii="Times New Roman" w:hAnsi="Times New Roman"/>
          <w:b w:val="0"/>
          <w:i w:val="0"/>
          <w:color w:val="000000"/>
          <w:sz w:val="24"/>
        </w:rPr>
        <w:t>Normalized index S_econ ∈ [0, 1] using literature-informed elasticities (α1 = 0.40, α2 = 0.35, α3 = 0.25) derived from Mach et al. [35] and Miguel et al. [38]:</w:t>
      </w:r>
    </w:p>
    <w:tbl>
      <w:tblPr>
        <w:tblW w:type="auto" w:w="0"/>
        <w:jc w:val="center"/>
        <w:tblLayout w:type="fixed"/>
        <w:tblLook w:firstColumn="1" w:firstRow="1" w:lastColumn="0" w:lastRow="0" w:noHBand="0" w:noVBand="1" w:val="04A0"/>
      </w:tblPr>
      <w:tblGrid>
        <w:gridCol w:w="8064"/>
        <w:gridCol w:w="965"/>
      </w:tblGrid>
      <w:tr>
        <w:tc>
          <w:tcPr>
            <w:tcW w:type="dxa" w:w="4514"/>
            <w:tcBorders>
              <w:top w:val="none"/>
              <w:left w:val="none"/>
              <w:bottom w:val="none"/>
              <w:right w:val="none"/>
            </w:tcBorders>
          </w:tcPr>
          <w:p>
            <w:pPr>
              <w:spacing w:line="276" w:lineRule="auto" w:after="40"/>
              <w:jc w:val="center"/>
            </w:pPr>
            <w:r>
              <w:rPr>
                <w:rFonts w:ascii="Times New Roman" w:hAnsi="Times New Roman"/>
                <w:i/>
                <w:color w:val="000000"/>
                <w:sz w:val="22"/>
              </w:rPr>
              <w:t>S_econ = [1 / ∑ α_j] · [ α1·clamp((ΔCPI - 3.0)/15.0, 0, 1) + α2·clamp((2.0 - ΔGDP)/8.0, 0, 1) + α3·clamp((Unemp - 5.0)/15.0, 0, 1) ]</w:t>
            </w:r>
          </w:p>
        </w:tc>
        <w:tc>
          <w:tcPr>
            <w:tcW w:type="dxa" w:w="4514"/>
            <w:tcBorders>
              <w:top w:val="none"/>
              <w:left w:val="none"/>
              <w:bottom w:val="none"/>
              <w:right w:val="none"/>
            </w:tcBorders>
          </w:tcPr>
          <w:p>
            <w:pPr>
              <w:spacing w:line="276" w:lineRule="auto" w:after="40"/>
              <w:jc w:val="right"/>
            </w:pPr>
            <w:r>
              <w:rPr>
                <w:rFonts w:ascii="Times New Roman" w:hAnsi="Times New Roman"/>
                <w:b/>
                <w:color w:val="000000"/>
                <w:sz w:val="22"/>
              </w:rPr>
              <w:t>(4)</w:t>
            </w:r>
          </w:p>
        </w:tc>
      </w:tr>
    </w:tbl>
    <w:p>
      <w:pPr>
        <w:spacing w:after="80" w:line="240" w:lineRule="auto"/>
      </w:pPr>
    </w:p>
    <w:p>
      <w:pPr>
        <w:keepNext/>
        <w:spacing w:before="240" w:after="80"/>
        <w:jc w:val="left"/>
      </w:pPr>
      <w:r>
        <w:rPr>
          <w:rFonts w:ascii="Times New Roman" w:hAnsi="Times New Roman"/>
          <w:b/>
          <w:color w:val="000000"/>
          <w:sz w:val="24"/>
        </w:rPr>
        <w:t>7.5 Diplomatic Silence Duration</w:t>
      </w:r>
    </w:p>
    <w:p>
      <w:pPr>
        <w:spacing w:line="360" w:lineRule="auto" w:after="120"/>
        <w:jc w:val="both"/>
      </w:pPr>
      <w:r>
        <w:rPr>
          <w:rFonts w:ascii="Times New Roman" w:hAnsi="Times New Roman"/>
          <w:b w:val="0"/>
          <w:i w:val="0"/>
          <w:color w:val="000000"/>
          <w:sz w:val="24"/>
        </w:rPr>
        <w:t>Counts elapsed calendar days since the last recorded bilateral diplomatic summit or treaty interaction:</w:t>
      </w:r>
    </w:p>
    <w:tbl>
      <w:tblPr>
        <w:tblW w:type="auto" w:w="0"/>
        <w:jc w:val="center"/>
        <w:tblLayout w:type="fixed"/>
        <w:tblLook w:firstColumn="1" w:firstRow="1" w:lastColumn="0" w:lastRow="0" w:noHBand="0" w:noVBand="1" w:val="04A0"/>
      </w:tblPr>
      <w:tblGrid>
        <w:gridCol w:w="8064"/>
        <w:gridCol w:w="965"/>
      </w:tblGrid>
      <w:tr>
        <w:tc>
          <w:tcPr>
            <w:tcW w:type="dxa" w:w="4514"/>
            <w:tcBorders>
              <w:top w:val="none"/>
              <w:left w:val="none"/>
              <w:bottom w:val="none"/>
              <w:right w:val="none"/>
            </w:tcBorders>
          </w:tcPr>
          <w:p>
            <w:pPr>
              <w:spacing w:line="276" w:lineRule="auto" w:after="40"/>
              <w:jc w:val="center"/>
            </w:pPr>
            <w:r>
              <w:rPr>
                <w:rFonts w:ascii="Times New Roman" w:hAnsi="Times New Roman"/>
                <w:i/>
                <w:color w:val="000000"/>
                <w:sz w:val="22"/>
              </w:rPr>
              <w:t>D_silence(t) = min( t - t_last_diplo, W_max )</w:t>
            </w:r>
          </w:p>
        </w:tc>
        <w:tc>
          <w:tcPr>
            <w:tcW w:type="dxa" w:w="4514"/>
            <w:tcBorders>
              <w:top w:val="none"/>
              <w:left w:val="none"/>
              <w:bottom w:val="none"/>
              <w:right w:val="none"/>
            </w:tcBorders>
          </w:tcPr>
          <w:p>
            <w:pPr>
              <w:spacing w:line="276" w:lineRule="auto" w:after="40"/>
              <w:jc w:val="right"/>
            </w:pPr>
            <w:r>
              <w:rPr>
                <w:rFonts w:ascii="Times New Roman" w:hAnsi="Times New Roman"/>
                <w:b/>
                <w:color w:val="000000"/>
                <w:sz w:val="22"/>
              </w:rPr>
              <w:t>(5)</w:t>
            </w:r>
          </w:p>
        </w:tc>
      </w:tr>
    </w:tbl>
    <w:p>
      <w:pPr>
        <w:spacing w:after="80" w:line="240" w:lineRule="auto"/>
      </w:pPr>
    </w:p>
    <w:p>
      <w:pPr>
        <w:keepNext/>
        <w:spacing w:before="240" w:after="80"/>
        <w:jc w:val="left"/>
      </w:pPr>
      <w:r>
        <w:rPr>
          <w:rFonts w:ascii="Times New Roman" w:hAnsi="Times New Roman"/>
          <w:b/>
          <w:color w:val="000000"/>
          <w:sz w:val="24"/>
        </w:rPr>
        <w:t>7.6 Mathematical Sigmoid Z-Score Fusion Engine</w:t>
      </w:r>
    </w:p>
    <w:p>
      <w:pPr>
        <w:spacing w:line="360" w:lineRule="auto" w:after="120"/>
        <w:jc w:val="both"/>
      </w:pPr>
      <w:r>
        <w:rPr>
          <w:rFonts w:ascii="Times New Roman" w:hAnsi="Times New Roman"/>
          <w:b w:val="0"/>
          <w:i w:val="0"/>
          <w:color w:val="000000"/>
          <w:sz w:val="24"/>
        </w:rPr>
        <w:t>Features are standardized across regional cohort baselines into Z-scores (Z_k = (F_k - μ_k)/σ_k, with σ_k = 0 yielding Z_k = 0) and transformed via a domain-weighted logistic sigmoid:</w:t>
      </w:r>
    </w:p>
    <w:tbl>
      <w:tblPr>
        <w:tblW w:type="auto" w:w="0"/>
        <w:jc w:val="center"/>
        <w:tblLayout w:type="fixed"/>
        <w:tblLook w:firstColumn="1" w:firstRow="1" w:lastColumn="0" w:lastRow="0" w:noHBand="0" w:noVBand="1" w:val="04A0"/>
      </w:tblPr>
      <w:tblGrid>
        <w:gridCol w:w="8064"/>
        <w:gridCol w:w="965"/>
      </w:tblGrid>
      <w:tr>
        <w:tc>
          <w:tcPr>
            <w:tcW w:type="dxa" w:w="4514"/>
            <w:tcBorders>
              <w:top w:val="none"/>
              <w:left w:val="none"/>
              <w:bottom w:val="none"/>
              <w:right w:val="none"/>
            </w:tcBorders>
          </w:tcPr>
          <w:p>
            <w:pPr>
              <w:spacing w:line="276" w:lineRule="auto" w:after="40"/>
              <w:jc w:val="center"/>
            </w:pPr>
            <w:r>
              <w:rPr>
                <w:rFonts w:ascii="Times New Roman" w:hAnsi="Times New Roman"/>
                <w:i/>
                <w:color w:val="000000"/>
                <w:sz w:val="22"/>
              </w:rPr>
              <w:t>Risk_Score = 100 / ( 1 + exp( -∑_{k=1}^K w_k · Z_k ) )</w:t>
            </w:r>
          </w:p>
        </w:tc>
        <w:tc>
          <w:tcPr>
            <w:tcW w:type="dxa" w:w="4514"/>
            <w:tcBorders>
              <w:top w:val="none"/>
              <w:left w:val="none"/>
              <w:bottom w:val="none"/>
              <w:right w:val="none"/>
            </w:tcBorders>
          </w:tcPr>
          <w:p>
            <w:pPr>
              <w:spacing w:line="276" w:lineRule="auto" w:after="40"/>
              <w:jc w:val="right"/>
            </w:pPr>
            <w:r>
              <w:rPr>
                <w:rFonts w:ascii="Times New Roman" w:hAnsi="Times New Roman"/>
                <w:b/>
                <w:color w:val="000000"/>
                <w:sz w:val="22"/>
              </w:rPr>
              <w:t>(6)</w:t>
            </w:r>
          </w:p>
        </w:tc>
      </w:tr>
    </w:tbl>
    <w:p>
      <w:pPr>
        <w:spacing w:after="80" w:line="240" w:lineRule="auto"/>
      </w:pPr>
    </w:p>
    <w:p>
      <w:pPr>
        <w:spacing w:line="360" w:lineRule="auto" w:after="120"/>
        <w:jc w:val="both"/>
      </w:pPr>
      <w:r>
        <w:rPr>
          <w:rFonts w:ascii="Times New Roman" w:hAnsi="Times New Roman"/>
          <w:b w:val="0"/>
          <w:i w:val="0"/>
          <w:color w:val="000000"/>
          <w:sz w:val="24"/>
        </w:rPr>
        <w:t>Calibrated Heuristic Feature Weights: Military Clash Count (w = 0.30), Event Acceleration (w = 0.20), Sentiment Volatility (w = 0.15), Negative Tone (w = 0.15), Diplomatic Silence (w = 0.10), Macroeconomic Stress (w = 0.10). Operational risk tiers: Green (0–32, Baseline), Amber (33–65, Elevated Tension), Red (66–100, Critical Escalation).</w:t>
      </w:r>
    </w:p>
    <w:p>
      <w:pPr>
        <w:spacing w:line="360" w:lineRule="auto" w:after="120"/>
        <w:jc w:val="both"/>
      </w:pPr>
      <w:r>
        <w:rPr>
          <w:rFonts w:ascii="Times New Roman" w:hAnsi="Times New Roman"/>
          <w:b w:val="0"/>
          <w:i w:val="0"/>
          <w:color w:val="000000"/>
          <w:sz w:val="24"/>
        </w:rPr>
        <w:t>Methodological Qualification: The resulting Risk_Score is an uncalibrated multi-criteria decision-support index, NOT a calibrated Bayesian posterior probability P(Escalation | X). The weights w_k represent domain-informed relative importances rather than maximum-likelihood parameters.</w:t>
      </w:r>
    </w:p>
    <w:p>
      <w:pPr>
        <w:keepNext/>
        <w:spacing w:before="240" w:after="80"/>
        <w:jc w:val="left"/>
      </w:pPr>
      <w:r>
        <w:rPr>
          <w:rFonts w:ascii="Times New Roman" w:hAnsi="Times New Roman"/>
          <w:b/>
          <w:color w:val="000000"/>
          <w:sz w:val="24"/>
        </w:rPr>
        <w:t>7.7 Unsupervised Isolation Forest Anomaly Detection</w:t>
      </w:r>
    </w:p>
    <w:p>
      <w:pPr>
        <w:spacing w:line="360" w:lineRule="auto" w:after="120"/>
        <w:jc w:val="both"/>
      </w:pPr>
      <w:r>
        <w:rPr>
          <w:rFonts w:ascii="Times New Roman" w:hAnsi="Times New Roman"/>
          <w:b w:val="0"/>
          <w:i w:val="0"/>
          <w:color w:val="000000"/>
          <w:sz w:val="24"/>
        </w:rPr>
        <w:t>To flag non-linear statistical anomalies without requiring labeled historical anomaly datasets, ARES applies an Isolation Forest model (sklearn.ensemble.IsolationForest [34]) fitted on feature vectors X ∈ ℝ⁵ (contamination = 0.10, random_state = 42), returning anomaly flags (is_anomaly = True) for top 10% outlier region-window combinations.</w:t>
      </w:r>
    </w:p>
    <w:p>
      <w:pPr>
        <w:keepNext/>
        <w:pageBreakBefore/>
        <w:spacing w:before="360" w:after="160"/>
        <w:jc w:val="left"/>
      </w:pPr>
      <w:r>
        <w:rPr>
          <w:rFonts w:ascii="Times New Roman" w:hAnsi="Times New Roman"/>
          <w:b/>
          <w:color w:val="000000"/>
          <w:sz w:val="28"/>
        </w:rPr>
        <w:t>8. Explainability and Human-in-the-Loop Decision Support</w:t>
      </w:r>
    </w:p>
    <w:p>
      <w:pPr>
        <w:spacing w:line="360" w:lineRule="auto" w:after="120"/>
        <w:jc w:val="both"/>
      </w:pPr>
      <w:r>
        <w:rPr>
          <w:rFonts w:ascii="Times New Roman" w:hAnsi="Times New Roman"/>
          <w:b w:val="0"/>
          <w:i w:val="0"/>
          <w:color w:val="000000"/>
          <w:sz w:val="24"/>
        </w:rPr>
        <w:t>Distinction Between Feature Attribution and Causal Explanation: A critical failure of modern machine learning applications in defense intelligence is the conflation of predictive feature attribution with causal explanation. When an algorithm indicates that Event Acceleration accounts for 58% of an elevated risk score, this represents a statistical decomposition of the linear combination ∑ w_k Z_k; it does not prove that event acceleration caused the geopolitical crisis. ARES enforces strict epistemic humility: feature attributions are labeled as 'Contributing Observed Indicators', and counter-evidence (cooperative summits, de-escalation statements) is presented to prevent confirmation bias.</w:t>
      </w:r>
    </w:p>
    <w:p>
      <w:pPr>
        <w:spacing w:line="360" w:lineRule="auto" w:after="120"/>
        <w:jc w:val="both"/>
      </w:pPr>
      <w:r>
        <w:rPr>
          <w:rFonts w:ascii="Times New Roman" w:hAnsi="Times New Roman"/>
          <w:b w:val="0"/>
          <w:i w:val="0"/>
          <w:color w:val="000000"/>
          <w:sz w:val="24"/>
        </w:rPr>
        <w:t>Direct Source Provenance: Every computed feature points back to database primary keys and external source URLs. When an analyst clicks an Amber or Red alert card, the dashboard renders a Source Evidence Feed detailing the exact headlines, timestamps, and URLs of the GDELT news articles and ACLED incident logs that drove the score, enabling human verification in under two minutes.</w:t>
      </w:r>
    </w:p>
    <w:p>
      <w:pPr>
        <w:keepNext/>
        <w:pageBreakBefore/>
        <w:spacing w:before="360" w:after="160"/>
        <w:jc w:val="left"/>
      </w:pPr>
      <w:r>
        <w:rPr>
          <w:rFonts w:ascii="Times New Roman" w:hAnsi="Times New Roman"/>
          <w:b/>
          <w:color w:val="000000"/>
          <w:sz w:val="28"/>
        </w:rPr>
        <w:t>9. Evaluation Protocol</w:t>
      </w:r>
    </w:p>
    <w:p>
      <w:pPr>
        <w:spacing w:line="360" w:lineRule="auto" w:after="120"/>
        <w:jc w:val="both"/>
      </w:pPr>
      <w:r>
        <w:rPr>
          <w:rFonts w:ascii="Times New Roman" w:hAnsi="Times New Roman"/>
          <w:b w:val="0"/>
          <w:i w:val="0"/>
          <w:color w:val="000000"/>
          <w:sz w:val="24"/>
        </w:rPr>
        <w:t>In accordance with scientific integrity standards, because empirical historical backtesting experiments are currently in-progress, this section outlines the formal evaluation protocol designed to validate ARES against historical crisis benchmarks without temporal information leakage.</w:t>
      </w:r>
    </w:p>
    <w:p>
      <w:pPr>
        <w:spacing w:line="360" w:lineRule="auto" w:after="120"/>
        <w:jc w:val="both"/>
      </w:pPr>
      <w:r>
        <w:rPr>
          <w:rFonts w:ascii="Times New Roman" w:hAnsi="Times New Roman"/>
          <w:b w:val="0"/>
          <w:i w:val="0"/>
          <w:color w:val="000000"/>
          <w:sz w:val="24"/>
        </w:rPr>
        <w:t>1. Benchmark Cases: Three documented Indo-Pacific crisis sequences: (1) 2020 Galwan Valley Border Standoff (India–China); (2) August 2022 Taiwan Strait Military Exercises; (3) 2021 Myanmar Civil Conflict.</w:t>
      </w:r>
    </w:p>
    <w:p>
      <w:pPr>
        <w:spacing w:line="360" w:lineRule="auto" w:after="120"/>
        <w:jc w:val="both"/>
      </w:pPr>
      <w:r>
        <w:rPr>
          <w:rFonts w:ascii="Times New Roman" w:hAnsi="Times New Roman"/>
          <w:b w:val="0"/>
          <w:i w:val="0"/>
          <w:color w:val="000000"/>
          <w:sz w:val="24"/>
        </w:rPr>
        <w:t>2. Temporal Cutoff Safeguards (T_cutoff): For any crisis peak at date T_peak, the model is strictly restricted to data up to T_cutoff = T_peak - Δt (Δt ∈ {7, 14, 21, 28} days). All normalization parameters and imputation statistics are fit strictly on pre-cutoff historical data to prevent future information leakage.</w:t>
      </w:r>
    </w:p>
    <w:p>
      <w:pPr>
        <w:spacing w:line="360" w:lineRule="auto" w:after="120"/>
        <w:jc w:val="both"/>
      </w:pPr>
      <w:r>
        <w:rPr>
          <w:rFonts w:ascii="Times New Roman" w:hAnsi="Times New Roman"/>
          <w:b w:val="0"/>
          <w:i w:val="0"/>
          <w:color w:val="000000"/>
          <w:sz w:val="24"/>
        </w:rPr>
        <w:t>3. Chronological Splits: Chronological partitioning (2018–2021 baseline calibration, 2022–2025 prospective evaluation). Random shuffling is strictly prohibited.</w:t>
      </w:r>
    </w:p>
    <w:p>
      <w:pPr>
        <w:spacing w:line="360" w:lineRule="auto" w:after="120"/>
        <w:jc w:val="both"/>
      </w:pPr>
      <w:r>
        <w:rPr>
          <w:rFonts w:ascii="Times New Roman" w:hAnsi="Times New Roman"/>
          <w:b w:val="0"/>
          <w:i w:val="0"/>
          <w:color w:val="000000"/>
          <w:sz w:val="24"/>
        </w:rPr>
        <w:t>4. Comparative Baselines: Naïve Persistence Baseline, Historical Rolling Mean Baseline, Univariate ARIMA, and Unregularized Logistic Regression.</w:t>
      </w:r>
    </w:p>
    <w:p>
      <w:pPr>
        <w:spacing w:line="360" w:lineRule="auto" w:after="120"/>
        <w:jc w:val="both"/>
      </w:pPr>
      <w:r>
        <w:rPr>
          <w:rFonts w:ascii="Times New Roman" w:hAnsi="Times New Roman"/>
          <w:b w:val="0"/>
          <w:i w:val="0"/>
          <w:color w:val="000000"/>
          <w:sz w:val="24"/>
        </w:rPr>
        <w:t>5. Target Metrics: Recall on High-Impact Events (Target ≥ 75%); Precision on High-Risk Alerts (Target ≥ 80%); False Positive Rate (Target &lt; 15%); Early-Warning Lead Time τ_lead = T_peak - T_first_Red_alert (Target: 7 to 21 days); Brier Calibration Score; and Feature Ablation AUC drops.</w:t>
      </w:r>
    </w:p>
    <w:p>
      <w:pPr>
        <w:keepNext/>
        <w:pageBreakBefore/>
        <w:spacing w:before="360" w:after="160"/>
        <w:jc w:val="left"/>
      </w:pPr>
      <w:r>
        <w:rPr>
          <w:rFonts w:ascii="Times New Roman" w:hAnsi="Times New Roman"/>
          <w:b/>
          <w:color w:val="000000"/>
          <w:sz w:val="28"/>
        </w:rPr>
        <w:t>10. Results and Implementation Status</w:t>
      </w:r>
    </w:p>
    <w:p>
      <w:pPr>
        <w:spacing w:line="360" w:lineRule="auto" w:after="120"/>
        <w:jc w:val="both"/>
      </w:pPr>
      <w:r>
        <w:rPr>
          <w:rFonts w:ascii="Times New Roman" w:hAnsi="Times New Roman"/>
          <w:b w:val="0"/>
          <w:i w:val="0"/>
          <w:color w:val="000000"/>
          <w:sz w:val="24"/>
        </w:rPr>
        <w:t>In strict adherence to scientific integrity guidelines, no empirical predictive accuracy, lead times, or calibrated probability curves are reported as completed findings in this manuscript. The current contribution represents a verified, functional software system and prospective experimental design.</w:t>
      </w:r>
    </w:p>
    <w:p>
      <w:pPr>
        <w:keepNext/>
        <w:spacing w:before="240" w:after="80"/>
        <w:jc w:val="left"/>
      </w:pPr>
      <w:r>
        <w:rPr>
          <w:rFonts w:ascii="Times New Roman" w:hAnsi="Times New Roman"/>
          <w:b/>
          <w:color w:val="000000"/>
          <w:sz w:val="20"/>
        </w:rPr>
        <w:t>TABLE III — ARES IMPLEMENTATION STATUS AND VERIFICATION AUDIT</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D0D0D0"/>
          <w:insideV w:val="none"/>
        </w:tblBorders>
      </w:tblPr>
      <w:tblGrid>
        <w:gridCol w:w="2257"/>
        <w:gridCol w:w="2257"/>
        <w:gridCol w:w="2257"/>
        <w:gridCol w:w="2257"/>
      </w:tblGrid>
      <w:tr>
        <w:trPr>
          <w:tblHeader/>
          <w:cantSplit/>
        </w:trPr>
        <w:tc>
          <w:tcPr>
            <w:tcW w:type="dxa" w:w="2257"/>
            <w:tcBorders>
              <w:bottom w:val="single" w:sz="8" w:space="0" w:color="000000"/>
            </w:tcBorders>
            <w:tcMar>
              <w:top w:w="60" w:type="dxa"/>
              <w:bottom w:w="60" w:type="dxa"/>
              <w:left w:w="60" w:type="dxa"/>
              <w:right w:w="60" w:type="dxa"/>
            </w:tcMar>
          </w:tcPr>
          <w:p>
            <w:pPr>
              <w:spacing w:line="276" w:lineRule="auto" w:after="40"/>
              <w:jc w:val="center"/>
            </w:pPr>
            <w:r>
              <w:rPr>
                <w:b/>
                <w:sz w:val="17"/>
              </w:rPr>
              <w:t>Component / Subsystem</w:t>
            </w:r>
          </w:p>
        </w:tc>
        <w:tc>
          <w:tcPr>
            <w:tcW w:type="dxa" w:w="2257"/>
            <w:tcBorders>
              <w:bottom w:val="single" w:sz="8" w:space="0" w:color="000000"/>
            </w:tcBorders>
            <w:tcMar>
              <w:top w:w="60" w:type="dxa"/>
              <w:bottom w:w="60" w:type="dxa"/>
              <w:left w:w="60" w:type="dxa"/>
              <w:right w:w="60" w:type="dxa"/>
            </w:tcMar>
          </w:tcPr>
          <w:p>
            <w:pPr>
              <w:spacing w:line="276" w:lineRule="auto" w:after="40"/>
              <w:jc w:val="center"/>
            </w:pPr>
            <w:r>
              <w:rPr>
                <w:b/>
                <w:sz w:val="17"/>
              </w:rPr>
              <w:t>Current Status</w:t>
            </w:r>
          </w:p>
        </w:tc>
        <w:tc>
          <w:tcPr>
            <w:tcW w:type="dxa" w:w="2257"/>
            <w:tcBorders>
              <w:bottom w:val="single" w:sz="8" w:space="0" w:color="000000"/>
            </w:tcBorders>
            <w:tcMar>
              <w:top w:w="60" w:type="dxa"/>
              <w:bottom w:w="60" w:type="dxa"/>
              <w:left w:w="60" w:type="dxa"/>
              <w:right w:w="60" w:type="dxa"/>
            </w:tcMar>
          </w:tcPr>
          <w:p>
            <w:pPr>
              <w:spacing w:line="276" w:lineRule="auto" w:after="40"/>
              <w:jc w:val="center"/>
            </w:pPr>
            <w:r>
              <w:rPr>
                <w:b/>
                <w:sz w:val="17"/>
              </w:rPr>
              <w:t>Verification Location</w:t>
            </w:r>
          </w:p>
        </w:tc>
        <w:tc>
          <w:tcPr>
            <w:tcW w:type="dxa" w:w="2257"/>
            <w:tcBorders>
              <w:bottom w:val="single" w:sz="8" w:space="0" w:color="000000"/>
            </w:tcBorders>
            <w:tcMar>
              <w:top w:w="60" w:type="dxa"/>
              <w:bottom w:w="60" w:type="dxa"/>
              <w:left w:w="60" w:type="dxa"/>
              <w:right w:w="60" w:type="dxa"/>
            </w:tcMar>
          </w:tcPr>
          <w:p>
            <w:pPr>
              <w:spacing w:line="276" w:lineRule="auto" w:after="40"/>
              <w:jc w:val="center"/>
            </w:pPr>
            <w:r>
              <w:rPr>
                <w:b/>
                <w:sz w:val="17"/>
              </w:rPr>
              <w:t>Technical Scope &amp; Limitations</w:t>
            </w:r>
          </w:p>
        </w:tc>
      </w:tr>
      <w:tr>
        <w:trPr>
          <w:cantSplit/>
        </w:trPr>
        <w:tc>
          <w:tcPr>
            <w:tcW w:type="dxa" w:w="2257"/>
            <w:tcMar>
              <w:top w:w="45" w:type="dxa"/>
              <w:bottom w:w="45" w:type="dxa"/>
              <w:left w:w="60" w:type="dxa"/>
              <w:right w:w="60" w:type="dxa"/>
            </w:tcMar>
          </w:tcPr>
          <w:p>
            <w:pPr>
              <w:spacing w:line="264" w:lineRule="auto" w:after="20"/>
              <w:jc w:val="left"/>
            </w:pPr>
            <w:r>
              <w:rPr>
                <w:sz w:val="16"/>
              </w:rPr>
              <w:t>Live Ingestion Engine</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src/live_data.py</w:t>
            </w:r>
          </w:p>
        </w:tc>
        <w:tc>
          <w:tcPr>
            <w:tcW w:type="dxa" w:w="2257"/>
            <w:tcMar>
              <w:top w:w="45" w:type="dxa"/>
              <w:bottom w:w="45" w:type="dxa"/>
              <w:left w:w="60" w:type="dxa"/>
              <w:right w:w="60" w:type="dxa"/>
            </w:tcMar>
          </w:tcPr>
          <w:p>
            <w:pPr>
              <w:spacing w:line="264" w:lineRule="auto" w:after="20"/>
              <w:jc w:val="left"/>
            </w:pPr>
            <w:r>
              <w:rPr>
                <w:sz w:val="16"/>
              </w:rPr>
              <w:t>Active REST fetchers for GDELT 2.0, World Bank, IMF, UCDP, ReliefWeb.</w:t>
            </w:r>
          </w:p>
        </w:tc>
      </w:tr>
      <w:tr>
        <w:trPr>
          <w:cantSplit/>
        </w:trPr>
        <w:tc>
          <w:tcPr>
            <w:tcW w:type="dxa" w:w="2257"/>
            <w:tcMar>
              <w:top w:w="45" w:type="dxa"/>
              <w:bottom w:w="45" w:type="dxa"/>
              <w:left w:w="60" w:type="dxa"/>
              <w:right w:w="60" w:type="dxa"/>
            </w:tcMar>
          </w:tcPr>
          <w:p>
            <w:pPr>
              <w:spacing w:line="264" w:lineRule="auto" w:after="20"/>
              <w:jc w:val="left"/>
            </w:pPr>
            <w:r>
              <w:rPr>
                <w:sz w:val="16"/>
              </w:rPr>
              <w:t>Static Baseline Ingestion</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src/static_data_generator.py</w:t>
            </w:r>
          </w:p>
        </w:tc>
        <w:tc>
          <w:tcPr>
            <w:tcW w:type="dxa" w:w="2257"/>
            <w:tcMar>
              <w:top w:w="45" w:type="dxa"/>
              <w:bottom w:w="45" w:type="dxa"/>
              <w:left w:w="60" w:type="dxa"/>
              <w:right w:w="60" w:type="dxa"/>
            </w:tcMar>
          </w:tcPr>
          <w:p>
            <w:pPr>
              <w:spacing w:line="264" w:lineRule="auto" w:after="20"/>
              <w:jc w:val="left"/>
            </w:pPr>
            <w:r>
              <w:rPr>
                <w:sz w:val="16"/>
              </w:rPr>
              <w:t>Historical generators for ACLED, ICEWS, SIPRI, UN Sanctions (~10k records).</w:t>
            </w:r>
          </w:p>
        </w:tc>
      </w:tr>
      <w:tr>
        <w:trPr>
          <w:cantSplit/>
        </w:trPr>
        <w:tc>
          <w:tcPr>
            <w:tcW w:type="dxa" w:w="2257"/>
            <w:tcMar>
              <w:top w:w="45" w:type="dxa"/>
              <w:bottom w:w="45" w:type="dxa"/>
              <w:left w:w="60" w:type="dxa"/>
              <w:right w:w="60" w:type="dxa"/>
            </w:tcMar>
          </w:tcPr>
          <w:p>
            <w:pPr>
              <w:spacing w:line="264" w:lineRule="auto" w:after="20"/>
              <w:jc w:val="left"/>
            </w:pPr>
            <w:r>
              <w:rPr>
                <w:sz w:val="16"/>
              </w:rPr>
              <w:t>Database Persistence Layer</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src/database.py</w:t>
            </w:r>
          </w:p>
        </w:tc>
        <w:tc>
          <w:tcPr>
            <w:tcW w:type="dxa" w:w="2257"/>
            <w:tcMar>
              <w:top w:w="45" w:type="dxa"/>
              <w:bottom w:w="45" w:type="dxa"/>
              <w:left w:w="60" w:type="dxa"/>
              <w:right w:w="60" w:type="dxa"/>
            </w:tcMar>
          </w:tcPr>
          <w:p>
            <w:pPr>
              <w:spacing w:line="264" w:lineRule="auto" w:after="20"/>
              <w:jc w:val="left"/>
            </w:pPr>
            <w:r>
              <w:rPr>
                <w:sz w:val="16"/>
              </w:rPr>
              <w:t>SQLite (master_data.db) operational; PostGIS spatial schema specified.</w:t>
            </w:r>
          </w:p>
        </w:tc>
      </w:tr>
      <w:tr>
        <w:trPr>
          <w:cantSplit/>
        </w:trPr>
        <w:tc>
          <w:tcPr>
            <w:tcW w:type="dxa" w:w="2257"/>
            <w:tcMar>
              <w:top w:w="45" w:type="dxa"/>
              <w:bottom w:w="45" w:type="dxa"/>
              <w:left w:w="60" w:type="dxa"/>
              <w:right w:w="60" w:type="dxa"/>
            </w:tcMar>
          </w:tcPr>
          <w:p>
            <w:pPr>
              <w:spacing w:line="264" w:lineRule="auto" w:after="20"/>
              <w:jc w:val="left"/>
            </w:pPr>
            <w:r>
              <w:rPr>
                <w:sz w:val="16"/>
              </w:rPr>
              <w:t>Feature Engineering Pipeline</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src/feature_engineering.py</w:t>
            </w:r>
          </w:p>
        </w:tc>
        <w:tc>
          <w:tcPr>
            <w:tcW w:type="dxa" w:w="2257"/>
            <w:tcMar>
              <w:top w:w="45" w:type="dxa"/>
              <w:bottom w:w="45" w:type="dxa"/>
              <w:left w:w="60" w:type="dxa"/>
              <w:right w:w="60" w:type="dxa"/>
            </w:tcMar>
          </w:tcPr>
          <w:p>
            <w:pPr>
              <w:spacing w:line="264" w:lineRule="auto" w:after="20"/>
              <w:jc w:val="left"/>
            </w:pPr>
            <w:r>
              <w:rPr>
                <w:sz w:val="16"/>
              </w:rPr>
              <w:t>Verified computation of acceleration, volatility, protest ratio, economic stress.</w:t>
            </w:r>
          </w:p>
        </w:tc>
      </w:tr>
      <w:tr>
        <w:trPr>
          <w:cantSplit/>
        </w:trPr>
        <w:tc>
          <w:tcPr>
            <w:tcW w:type="dxa" w:w="2257"/>
            <w:tcMar>
              <w:top w:w="45" w:type="dxa"/>
              <w:bottom w:w="45" w:type="dxa"/>
              <w:left w:w="60" w:type="dxa"/>
              <w:right w:w="60" w:type="dxa"/>
            </w:tcMar>
          </w:tcPr>
          <w:p>
            <w:pPr>
              <w:spacing w:line="264" w:lineRule="auto" w:after="20"/>
              <w:jc w:val="left"/>
            </w:pPr>
            <w:r>
              <w:rPr>
                <w:sz w:val="16"/>
              </w:rPr>
              <w:t>Sigmoid Z-Score Fusion Engine</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src/feature_engineering.py</w:t>
            </w:r>
          </w:p>
        </w:tc>
        <w:tc>
          <w:tcPr>
            <w:tcW w:type="dxa" w:w="2257"/>
            <w:tcMar>
              <w:top w:w="45" w:type="dxa"/>
              <w:bottom w:w="45" w:type="dxa"/>
              <w:left w:w="60" w:type="dxa"/>
              <w:right w:w="60" w:type="dxa"/>
            </w:tcMar>
          </w:tcPr>
          <w:p>
            <w:pPr>
              <w:spacing w:line="264" w:lineRule="auto" w:after="20"/>
              <w:jc w:val="left"/>
            </w:pPr>
            <w:r>
              <w:rPr>
                <w:sz w:val="16"/>
              </w:rPr>
              <w:t>Continuous 0-100 risk scoring with domain-informed heuristic weights.</w:t>
            </w:r>
          </w:p>
        </w:tc>
      </w:tr>
      <w:tr>
        <w:trPr>
          <w:cantSplit/>
        </w:trPr>
        <w:tc>
          <w:tcPr>
            <w:tcW w:type="dxa" w:w="2257"/>
            <w:tcMar>
              <w:top w:w="45" w:type="dxa"/>
              <w:bottom w:w="45" w:type="dxa"/>
              <w:left w:w="60" w:type="dxa"/>
              <w:right w:w="60" w:type="dxa"/>
            </w:tcMar>
          </w:tcPr>
          <w:p>
            <w:pPr>
              <w:spacing w:line="264" w:lineRule="auto" w:after="20"/>
              <w:jc w:val="left"/>
            </w:pPr>
            <w:r>
              <w:rPr>
                <w:sz w:val="16"/>
              </w:rPr>
              <w:t>Unsupervised Anomaly Detector</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src/feature_engineering.py</w:t>
            </w:r>
          </w:p>
        </w:tc>
        <w:tc>
          <w:tcPr>
            <w:tcW w:type="dxa" w:w="2257"/>
            <w:tcMar>
              <w:top w:w="45" w:type="dxa"/>
              <w:bottom w:w="45" w:type="dxa"/>
              <w:left w:w="60" w:type="dxa"/>
              <w:right w:w="60" w:type="dxa"/>
            </w:tcMar>
          </w:tcPr>
          <w:p>
            <w:pPr>
              <w:spacing w:line="264" w:lineRule="auto" w:after="20"/>
              <w:jc w:val="left"/>
            </w:pPr>
            <w:r>
              <w:rPr>
                <w:sz w:val="16"/>
              </w:rPr>
              <w:t>Operational IsolationForest (contamination=0.10) flagging outliers.</w:t>
            </w:r>
          </w:p>
        </w:tc>
      </w:tr>
      <w:tr>
        <w:trPr>
          <w:cantSplit/>
        </w:trPr>
        <w:tc>
          <w:tcPr>
            <w:tcW w:type="dxa" w:w="2257"/>
            <w:tcMar>
              <w:top w:w="45" w:type="dxa"/>
              <w:bottom w:w="45" w:type="dxa"/>
              <w:left w:w="60" w:type="dxa"/>
              <w:right w:w="60" w:type="dxa"/>
            </w:tcMar>
          </w:tcPr>
          <w:p>
            <w:pPr>
              <w:spacing w:line="264" w:lineRule="auto" w:after="20"/>
              <w:jc w:val="left"/>
            </w:pPr>
            <w:r>
              <w:rPr>
                <w:sz w:val="16"/>
              </w:rPr>
              <w:t>Analyst Decision Dashboard</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app.py</w:t>
            </w:r>
          </w:p>
        </w:tc>
        <w:tc>
          <w:tcPr>
            <w:tcW w:type="dxa" w:w="2257"/>
            <w:tcMar>
              <w:top w:w="45" w:type="dxa"/>
              <w:bottom w:w="45" w:type="dxa"/>
              <w:left w:w="60" w:type="dxa"/>
              <w:right w:w="60" w:type="dxa"/>
            </w:tcMar>
          </w:tcPr>
          <w:p>
            <w:pPr>
              <w:spacing w:line="264" w:lineRule="auto" w:after="20"/>
              <w:jc w:val="left"/>
            </w:pPr>
            <w:r>
              <w:rPr>
                <w:sz w:val="16"/>
              </w:rPr>
              <w:t>Functional 5-page Streamlit web app on port 8000 with interactive Plotly views.</w:t>
            </w:r>
          </w:p>
        </w:tc>
      </w:tr>
      <w:tr>
        <w:trPr>
          <w:cantSplit/>
        </w:trPr>
        <w:tc>
          <w:tcPr>
            <w:tcW w:type="dxa" w:w="2257"/>
            <w:tcMar>
              <w:top w:w="45" w:type="dxa"/>
              <w:bottom w:w="45" w:type="dxa"/>
              <w:left w:w="60" w:type="dxa"/>
              <w:right w:w="60" w:type="dxa"/>
            </w:tcMar>
          </w:tcPr>
          <w:p>
            <w:pPr>
              <w:spacing w:line="264" w:lineRule="auto" w:after="20"/>
              <w:jc w:val="left"/>
            </w:pPr>
            <w:r>
              <w:rPr>
                <w:sz w:val="16"/>
              </w:rPr>
              <w:t>Source Evidence Traceability</w:t>
            </w:r>
          </w:p>
        </w:tc>
        <w:tc>
          <w:tcPr>
            <w:tcW w:type="dxa" w:w="2257"/>
            <w:tcMar>
              <w:top w:w="45" w:type="dxa"/>
              <w:bottom w:w="45" w:type="dxa"/>
              <w:left w:w="60" w:type="dxa"/>
              <w:right w:w="60" w:type="dxa"/>
            </w:tcMar>
          </w:tcPr>
          <w:p>
            <w:pPr>
              <w:spacing w:line="264" w:lineRule="auto" w:after="20"/>
              <w:jc w:val="left"/>
            </w:pPr>
            <w:r>
              <w:rPr>
                <w:sz w:val="16"/>
              </w:rPr>
              <w:t>Implemented &amp; Verified</w:t>
            </w:r>
          </w:p>
        </w:tc>
        <w:tc>
          <w:tcPr>
            <w:tcW w:type="dxa" w:w="2257"/>
            <w:tcMar>
              <w:top w:w="45" w:type="dxa"/>
              <w:bottom w:w="45" w:type="dxa"/>
              <w:left w:w="60" w:type="dxa"/>
              <w:right w:w="60" w:type="dxa"/>
            </w:tcMar>
          </w:tcPr>
          <w:p>
            <w:pPr>
              <w:spacing w:line="264" w:lineRule="auto" w:after="20"/>
              <w:jc w:val="left"/>
            </w:pPr>
            <w:r>
              <w:rPr>
                <w:sz w:val="16"/>
              </w:rPr>
              <w:t>app.py</w:t>
            </w:r>
          </w:p>
        </w:tc>
        <w:tc>
          <w:tcPr>
            <w:tcW w:type="dxa" w:w="2257"/>
            <w:tcMar>
              <w:top w:w="45" w:type="dxa"/>
              <w:bottom w:w="45" w:type="dxa"/>
              <w:left w:w="60" w:type="dxa"/>
              <w:right w:w="60" w:type="dxa"/>
            </w:tcMar>
          </w:tcPr>
          <w:p>
            <w:pPr>
              <w:spacing w:line="264" w:lineRule="auto" w:after="20"/>
              <w:jc w:val="left"/>
            </w:pPr>
            <w:r>
              <w:rPr>
                <w:sz w:val="16"/>
              </w:rPr>
              <w:t>Dynamic URL traceback linking risk scores to raw GDELT and ACLED records.</w:t>
            </w:r>
          </w:p>
        </w:tc>
      </w:tr>
      <w:tr>
        <w:trPr>
          <w:cantSplit/>
        </w:trPr>
        <w:tc>
          <w:tcPr>
            <w:tcW w:type="dxa" w:w="2257"/>
            <w:tcMar>
              <w:top w:w="45" w:type="dxa"/>
              <w:bottom w:w="45" w:type="dxa"/>
              <w:left w:w="60" w:type="dxa"/>
              <w:right w:w="60" w:type="dxa"/>
            </w:tcMar>
          </w:tcPr>
          <w:p>
            <w:pPr>
              <w:spacing w:line="264" w:lineRule="auto" w:after="20"/>
              <w:jc w:val="left"/>
            </w:pPr>
            <w:r>
              <w:rPr>
                <w:sz w:val="16"/>
              </w:rPr>
              <w:t>Supervised Classifier Head</w:t>
            </w:r>
          </w:p>
        </w:tc>
        <w:tc>
          <w:tcPr>
            <w:tcW w:type="dxa" w:w="2257"/>
            <w:tcMar>
              <w:top w:w="45" w:type="dxa"/>
              <w:bottom w:w="45" w:type="dxa"/>
              <w:left w:w="60" w:type="dxa"/>
              <w:right w:w="60" w:type="dxa"/>
            </w:tcMar>
          </w:tcPr>
          <w:p>
            <w:pPr>
              <w:spacing w:line="264" w:lineRule="auto" w:after="20"/>
              <w:jc w:val="left"/>
            </w:pPr>
            <w:r>
              <w:rPr>
                <w:sz w:val="16"/>
              </w:rPr>
              <w:t>Designed / Specified</w:t>
            </w:r>
          </w:p>
        </w:tc>
        <w:tc>
          <w:tcPr>
            <w:tcW w:type="dxa" w:w="2257"/>
            <w:tcMar>
              <w:top w:w="45" w:type="dxa"/>
              <w:bottom w:w="45" w:type="dxa"/>
              <w:left w:w="60" w:type="dxa"/>
              <w:right w:w="60" w:type="dxa"/>
            </w:tcMar>
          </w:tcPr>
          <w:p>
            <w:pPr>
              <w:spacing w:line="264" w:lineRule="auto" w:after="20"/>
              <w:jc w:val="left"/>
            </w:pPr>
            <w:r>
              <w:rPr>
                <w:sz w:val="16"/>
              </w:rPr>
              <w:t>SRS §3.4; Arch §3.2</w:t>
            </w:r>
          </w:p>
        </w:tc>
        <w:tc>
          <w:tcPr>
            <w:tcW w:type="dxa" w:w="2257"/>
            <w:tcMar>
              <w:top w:w="45" w:type="dxa"/>
              <w:bottom w:w="45" w:type="dxa"/>
              <w:left w:w="60" w:type="dxa"/>
              <w:right w:w="60" w:type="dxa"/>
            </w:tcMar>
          </w:tcPr>
          <w:p>
            <w:pPr>
              <w:spacing w:line="264" w:lineRule="auto" w:after="20"/>
              <w:jc w:val="left"/>
            </w:pPr>
            <w:r>
              <w:rPr>
                <w:sz w:val="16"/>
              </w:rPr>
              <w:t>RandomForest / XGBoost classifiers specified; currently using Sigmoid Fusion.</w:t>
            </w:r>
          </w:p>
        </w:tc>
      </w:tr>
      <w:tr>
        <w:trPr>
          <w:cantSplit/>
        </w:trPr>
        <w:tc>
          <w:tcPr>
            <w:tcW w:type="dxa" w:w="2257"/>
            <w:tcMar>
              <w:top w:w="45" w:type="dxa"/>
              <w:bottom w:w="45" w:type="dxa"/>
              <w:left w:w="60" w:type="dxa"/>
              <w:right w:w="60" w:type="dxa"/>
            </w:tcMar>
          </w:tcPr>
          <w:p>
            <w:pPr>
              <w:spacing w:line="264" w:lineRule="auto" w:after="20"/>
              <w:jc w:val="left"/>
            </w:pPr>
            <w:r>
              <w:rPr>
                <w:sz w:val="16"/>
              </w:rPr>
              <w:t>Deep NLP Transformer Head</w:t>
            </w:r>
          </w:p>
        </w:tc>
        <w:tc>
          <w:tcPr>
            <w:tcW w:type="dxa" w:w="2257"/>
            <w:tcMar>
              <w:top w:w="45" w:type="dxa"/>
              <w:bottom w:w="45" w:type="dxa"/>
              <w:left w:w="60" w:type="dxa"/>
              <w:right w:w="60" w:type="dxa"/>
            </w:tcMar>
          </w:tcPr>
          <w:p>
            <w:pPr>
              <w:spacing w:line="264" w:lineRule="auto" w:after="20"/>
              <w:jc w:val="left"/>
            </w:pPr>
            <w:r>
              <w:rPr>
                <w:sz w:val="16"/>
              </w:rPr>
              <w:t>Designed / Specified</w:t>
            </w:r>
          </w:p>
        </w:tc>
        <w:tc>
          <w:tcPr>
            <w:tcW w:type="dxa" w:w="2257"/>
            <w:tcMar>
              <w:top w:w="45" w:type="dxa"/>
              <w:bottom w:w="45" w:type="dxa"/>
              <w:left w:w="60" w:type="dxa"/>
              <w:right w:w="60" w:type="dxa"/>
            </w:tcMar>
          </w:tcPr>
          <w:p>
            <w:pPr>
              <w:spacing w:line="264" w:lineRule="auto" w:after="20"/>
              <w:jc w:val="left"/>
            </w:pPr>
            <w:r>
              <w:rPr>
                <w:sz w:val="16"/>
              </w:rPr>
              <w:t>SRS §3.4; Tech Stack</w:t>
            </w:r>
          </w:p>
        </w:tc>
        <w:tc>
          <w:tcPr>
            <w:tcW w:type="dxa" w:w="2257"/>
            <w:tcMar>
              <w:top w:w="45" w:type="dxa"/>
              <w:bottom w:w="45" w:type="dxa"/>
              <w:left w:w="60" w:type="dxa"/>
              <w:right w:w="60" w:type="dxa"/>
            </w:tcMar>
          </w:tcPr>
          <w:p>
            <w:pPr>
              <w:spacing w:line="264" w:lineRule="auto" w:after="20"/>
              <w:jc w:val="left"/>
            </w:pPr>
            <w:r>
              <w:rPr>
                <w:sz w:val="16"/>
              </w:rPr>
              <w:t>Fine-tuned DistilBERT head specified; currently uses GDELT Tone / Goldstein.</w:t>
            </w:r>
          </w:p>
        </w:tc>
      </w:tr>
      <w:tr>
        <w:trPr>
          <w:cantSplit/>
        </w:trPr>
        <w:tc>
          <w:tcPr>
            <w:tcW w:type="dxa" w:w="2257"/>
            <w:tcMar>
              <w:top w:w="45" w:type="dxa"/>
              <w:bottom w:w="45" w:type="dxa"/>
              <w:left w:w="60" w:type="dxa"/>
              <w:right w:w="60" w:type="dxa"/>
            </w:tcMar>
          </w:tcPr>
          <w:p>
            <w:pPr>
              <w:spacing w:line="264" w:lineRule="auto" w:after="20"/>
              <w:jc w:val="left"/>
            </w:pPr>
            <w:r>
              <w:rPr>
                <w:sz w:val="16"/>
              </w:rPr>
              <w:t>Full PostGIS Polygon Joins</w:t>
            </w:r>
          </w:p>
        </w:tc>
        <w:tc>
          <w:tcPr>
            <w:tcW w:type="dxa" w:w="2257"/>
            <w:tcMar>
              <w:top w:w="45" w:type="dxa"/>
              <w:bottom w:w="45" w:type="dxa"/>
              <w:left w:w="60" w:type="dxa"/>
              <w:right w:w="60" w:type="dxa"/>
            </w:tcMar>
          </w:tcPr>
          <w:p>
            <w:pPr>
              <w:spacing w:line="264" w:lineRule="auto" w:after="20"/>
              <w:jc w:val="left"/>
            </w:pPr>
            <w:r>
              <w:rPr>
                <w:sz w:val="16"/>
              </w:rPr>
              <w:t>Designed / Specified</w:t>
            </w:r>
          </w:p>
        </w:tc>
        <w:tc>
          <w:tcPr>
            <w:tcW w:type="dxa" w:w="2257"/>
            <w:tcMar>
              <w:top w:w="45" w:type="dxa"/>
              <w:bottom w:w="45" w:type="dxa"/>
              <w:left w:w="60" w:type="dxa"/>
              <w:right w:w="60" w:type="dxa"/>
            </w:tcMar>
          </w:tcPr>
          <w:p>
            <w:pPr>
              <w:spacing w:line="264" w:lineRule="auto" w:after="20"/>
              <w:jc w:val="left"/>
            </w:pPr>
            <w:r>
              <w:rPr>
                <w:sz w:val="16"/>
              </w:rPr>
              <w:t>Architecture Doc §2.1</w:t>
            </w:r>
          </w:p>
        </w:tc>
        <w:tc>
          <w:tcPr>
            <w:tcW w:type="dxa" w:w="2257"/>
            <w:tcMar>
              <w:top w:w="45" w:type="dxa"/>
              <w:bottom w:w="45" w:type="dxa"/>
              <w:left w:w="60" w:type="dxa"/>
              <w:right w:w="60" w:type="dxa"/>
            </w:tcMar>
          </w:tcPr>
          <w:p>
            <w:pPr>
              <w:spacing w:line="264" w:lineRule="auto" w:after="20"/>
              <w:jc w:val="left"/>
            </w:pPr>
            <w:r>
              <w:rPr>
                <w:sz w:val="16"/>
              </w:rPr>
              <w:t>ST_Contains spatial queries specified; demonstrator uses table lookups.</w:t>
            </w:r>
          </w:p>
        </w:tc>
      </w:tr>
      <w:tr>
        <w:trPr>
          <w:cantSplit/>
        </w:trPr>
        <w:tc>
          <w:tcPr>
            <w:tcW w:type="dxa" w:w="2257"/>
            <w:tcMar>
              <w:top w:w="45" w:type="dxa"/>
              <w:bottom w:w="45" w:type="dxa"/>
              <w:left w:w="60" w:type="dxa"/>
              <w:right w:w="60" w:type="dxa"/>
            </w:tcMar>
          </w:tcPr>
          <w:p>
            <w:pPr>
              <w:spacing w:line="264" w:lineRule="auto" w:after="20"/>
              <w:jc w:val="left"/>
            </w:pPr>
            <w:r>
              <w:rPr>
                <w:sz w:val="16"/>
              </w:rPr>
              <w:t>Enterprise TypeScript Monorepo</w:t>
            </w:r>
          </w:p>
        </w:tc>
        <w:tc>
          <w:tcPr>
            <w:tcW w:type="dxa" w:w="2257"/>
            <w:tcMar>
              <w:top w:w="45" w:type="dxa"/>
              <w:bottom w:w="45" w:type="dxa"/>
              <w:left w:w="60" w:type="dxa"/>
              <w:right w:w="60" w:type="dxa"/>
            </w:tcMar>
          </w:tcPr>
          <w:p>
            <w:pPr>
              <w:spacing w:line="264" w:lineRule="auto" w:after="20"/>
              <w:jc w:val="left"/>
            </w:pPr>
            <w:r>
              <w:rPr>
                <w:sz w:val="16"/>
              </w:rPr>
              <w:t>Partially Implemented</w:t>
            </w:r>
          </w:p>
        </w:tc>
        <w:tc>
          <w:tcPr>
            <w:tcW w:type="dxa" w:w="2257"/>
            <w:tcMar>
              <w:top w:w="45" w:type="dxa"/>
              <w:bottom w:w="45" w:type="dxa"/>
              <w:left w:w="60" w:type="dxa"/>
              <w:right w:w="60" w:type="dxa"/>
            </w:tcMar>
          </w:tcPr>
          <w:p>
            <w:pPr>
              <w:spacing w:line="264" w:lineRule="auto" w:after="20"/>
              <w:jc w:val="left"/>
            </w:pPr>
            <w:r>
              <w:rPr>
                <w:sz w:val="16"/>
              </w:rPr>
              <w:t>artifacts/api-server/, lib/</w:t>
            </w:r>
          </w:p>
        </w:tc>
        <w:tc>
          <w:tcPr>
            <w:tcW w:type="dxa" w:w="2257"/>
            <w:tcMar>
              <w:top w:w="45" w:type="dxa"/>
              <w:bottom w:w="45" w:type="dxa"/>
              <w:left w:w="60" w:type="dxa"/>
              <w:right w:w="60" w:type="dxa"/>
            </w:tcMar>
          </w:tcPr>
          <w:p>
            <w:pPr>
              <w:spacing w:line="264" w:lineRule="auto" w:after="20"/>
              <w:jc w:val="left"/>
            </w:pPr>
            <w:r>
              <w:rPr>
                <w:sz w:val="16"/>
              </w:rPr>
              <w:t>Express 5 REST API &amp; Drizzle schemas created; operates alongside Python.</w:t>
            </w:r>
          </w:p>
        </w:tc>
      </w:tr>
      <w:tr>
        <w:trPr>
          <w:cantSplit/>
        </w:trPr>
        <w:tc>
          <w:tcPr>
            <w:tcW w:type="dxa" w:w="2257"/>
            <w:tcMar>
              <w:top w:w="45" w:type="dxa"/>
              <w:bottom w:w="45" w:type="dxa"/>
              <w:left w:w="60" w:type="dxa"/>
              <w:right w:w="60" w:type="dxa"/>
            </w:tcMar>
          </w:tcPr>
          <w:p>
            <w:pPr>
              <w:spacing w:line="264" w:lineRule="auto" w:after="20"/>
              <w:jc w:val="left"/>
            </w:pPr>
            <w:r>
              <w:rPr>
                <w:sz w:val="16"/>
              </w:rPr>
              <w:t>Historical Backtesting Execution</w:t>
            </w:r>
          </w:p>
        </w:tc>
        <w:tc>
          <w:tcPr>
            <w:tcW w:type="dxa" w:w="2257"/>
            <w:tcMar>
              <w:top w:w="45" w:type="dxa"/>
              <w:bottom w:w="45" w:type="dxa"/>
              <w:left w:w="60" w:type="dxa"/>
              <w:right w:w="60" w:type="dxa"/>
            </w:tcMar>
          </w:tcPr>
          <w:p>
            <w:pPr>
              <w:spacing w:line="264" w:lineRule="auto" w:after="20"/>
              <w:jc w:val="left"/>
            </w:pPr>
            <w:r>
              <w:rPr>
                <w:sz w:val="16"/>
              </w:rPr>
              <w:t>Protocol Formalized</w:t>
            </w:r>
          </w:p>
        </w:tc>
        <w:tc>
          <w:tcPr>
            <w:tcW w:type="dxa" w:w="2257"/>
            <w:tcMar>
              <w:top w:w="45" w:type="dxa"/>
              <w:bottom w:w="45" w:type="dxa"/>
              <w:left w:w="60" w:type="dxa"/>
              <w:right w:w="60" w:type="dxa"/>
            </w:tcMar>
          </w:tcPr>
          <w:p>
            <w:pPr>
              <w:spacing w:line="264" w:lineRule="auto" w:after="20"/>
              <w:jc w:val="left"/>
            </w:pPr>
            <w:r>
              <w:rPr>
                <w:sz w:val="16"/>
              </w:rPr>
              <w:t>Section 9 of Manuscript</w:t>
            </w:r>
          </w:p>
        </w:tc>
        <w:tc>
          <w:tcPr>
            <w:tcW w:type="dxa" w:w="2257"/>
            <w:tcMar>
              <w:top w:w="45" w:type="dxa"/>
              <w:bottom w:w="45" w:type="dxa"/>
              <w:left w:w="60" w:type="dxa"/>
              <w:right w:w="60" w:type="dxa"/>
            </w:tcMar>
          </w:tcPr>
          <w:p>
            <w:pPr>
              <w:spacing w:line="264" w:lineRule="auto" w:after="20"/>
              <w:jc w:val="left"/>
            </w:pPr>
            <w:r>
              <w:rPr>
                <w:sz w:val="16"/>
              </w:rPr>
              <w:t>Full experimental protocol formalized; empirical execution ongoing.</w:t>
            </w:r>
          </w:p>
        </w:tc>
      </w:tr>
    </w:tbl>
    <w:p>
      <w:pPr>
        <w:keepNext/>
        <w:pageBreakBefore/>
        <w:spacing w:before="360" w:after="160"/>
        <w:jc w:val="left"/>
      </w:pPr>
      <w:r>
        <w:rPr>
          <w:rFonts w:ascii="Times New Roman" w:hAnsi="Times New Roman"/>
          <w:b/>
          <w:color w:val="000000"/>
          <w:sz w:val="28"/>
        </w:rPr>
        <w:t>11. Discussion</w:t>
      </w:r>
    </w:p>
    <w:p>
      <w:pPr>
        <w:spacing w:line="360" w:lineRule="auto" w:after="120"/>
        <w:jc w:val="both"/>
      </w:pPr>
      <w:r>
        <w:rPr>
          <w:rFonts w:ascii="Times New Roman" w:hAnsi="Times New Roman"/>
          <w:b w:val="0"/>
          <w:i w:val="0"/>
          <w:color w:val="000000"/>
          <w:sz w:val="24"/>
        </w:rPr>
        <w:t>Systems Engineering in Geopolitical Early Warning: In computational social science, published models frequently fail in deployment because they ignore raw data ingestion failures, API rate limits, coordinate mismatches, and analyst cognitive bandwidth. By delivering an open, modular system connecting live APIs to an explainable scoring pipeline and interactive dashboard, ARES bridges the gap between theoretical modeling and operational intelligence.</w:t>
      </w:r>
    </w:p>
    <w:p>
      <w:pPr>
        <w:spacing w:line="360" w:lineRule="auto" w:after="120"/>
        <w:jc w:val="both"/>
      </w:pPr>
      <w:r>
        <w:rPr>
          <w:rFonts w:ascii="Times New Roman" w:hAnsi="Times New Roman"/>
          <w:b w:val="0"/>
          <w:i w:val="0"/>
          <w:color w:val="000000"/>
          <w:sz w:val="24"/>
        </w:rPr>
        <w:t>Handling Reporting Latency and Propaganda: Official conflict logs (ACLED, UCDP) operate on weekly or monthly curation cycles, while GDELT updates every 15 minutes. ARES uses media tone volatility as a high-frequency canary signal while relying on curated event databases for baseline ground-truth. To counter state media manipulation, ARES computes Narrative Divergence—measuring statistical variance between domestic state media reporting and international independent wire services.</w:t>
      </w:r>
    </w:p>
    <w:p>
      <w:pPr>
        <w:keepNext/>
        <w:pageBreakBefore/>
        <w:spacing w:before="360" w:after="160"/>
        <w:jc w:val="left"/>
      </w:pPr>
      <w:r>
        <w:rPr>
          <w:rFonts w:ascii="Times New Roman" w:hAnsi="Times New Roman"/>
          <w:b/>
          <w:color w:val="000000"/>
          <w:sz w:val="28"/>
        </w:rPr>
        <w:t>12. Limitations, Ethics, and Responsible Use</w:t>
      </w:r>
    </w:p>
    <w:p>
      <w:pPr>
        <w:spacing w:line="360" w:lineRule="auto" w:after="120"/>
        <w:jc w:val="both"/>
      </w:pPr>
      <w:r>
        <w:rPr>
          <w:rFonts w:ascii="Times New Roman" w:hAnsi="Times New Roman"/>
          <w:b w:val="0"/>
          <w:i w:val="0"/>
          <w:color w:val="000000"/>
          <w:sz w:val="24"/>
        </w:rPr>
        <w:t>Bias Mitigation: (1) Media Coverage Bias (The CNN Effect): Open news data systematically over-reports urban, digitally connected centers while under-reporting telecommunications-constrained rural zones. ARES explicitly bounds confidence in low-density zones. (2) Linguistic Representation: Western corpora bias sentiment parsing; expanding multi-lingual models is a future priority. (3) False Alarms vs. Missed Crises: The prospective evaluation protocol is specifically designed to balance sensitivity and false-alarm suppression.</w:t>
      </w:r>
    </w:p>
    <w:p>
      <w:pPr>
        <w:spacing w:line="360" w:lineRule="auto" w:after="120"/>
        <w:jc w:val="both"/>
      </w:pPr>
      <w:r>
        <w:rPr>
          <w:rFonts w:ascii="Times New Roman" w:hAnsi="Times New Roman"/>
          <w:b w:val="0"/>
          <w:i w:val="0"/>
          <w:color w:val="000000"/>
          <w:sz w:val="24"/>
        </w:rPr>
        <w:t>Human-in-the-Loop Governance: ARES operates strictly under a non-autonomous governance model. Under no circumstances should automated early-warning scores trigger pre-emptive military action, economic sanctions, or coercive interventions without qualitative human intelligence verification.</w:t>
      </w:r>
    </w:p>
    <w:p>
      <w:pPr>
        <w:spacing w:line="360" w:lineRule="auto" w:after="120"/>
        <w:jc w:val="both"/>
      </w:pPr>
      <w:r>
        <w:rPr>
          <w:rFonts w:ascii="Times New Roman" w:hAnsi="Times New Roman"/>
          <w:b w:val="0"/>
          <w:i w:val="0"/>
          <w:color w:val="000000"/>
          <w:sz w:val="24"/>
        </w:rPr>
        <w:t>Privacy and Licensing: No PII is collected or tracked. News and social text are parsed strictly for aggregate sentiment. All datasets are utilized strictly under open-access, academic, and non-commercial terms.</w:t>
      </w:r>
    </w:p>
    <w:p>
      <w:pPr>
        <w:keepNext/>
        <w:pageBreakBefore/>
        <w:spacing w:before="360" w:after="160"/>
        <w:jc w:val="left"/>
      </w:pPr>
      <w:r>
        <w:rPr>
          <w:rFonts w:ascii="Times New Roman" w:hAnsi="Times New Roman"/>
          <w:b/>
          <w:color w:val="000000"/>
          <w:sz w:val="28"/>
        </w:rPr>
        <w:t>13. Conclusion and Future Work</w:t>
      </w:r>
    </w:p>
    <w:p>
      <w:pPr>
        <w:spacing w:line="360" w:lineRule="auto" w:after="120"/>
        <w:jc w:val="both"/>
      </w:pPr>
      <w:r>
        <w:rPr>
          <w:rFonts w:ascii="Times New Roman" w:hAnsi="Times New Roman"/>
          <w:b w:val="0"/>
          <w:i w:val="0"/>
          <w:color w:val="000000"/>
          <w:sz w:val="24"/>
        </w:rPr>
        <w:t>ARES demonstrates the feasibility of building an explainable, multi-source conflict early-warning system on open-source foundations. By harmonizing kinetic events, media sentiment, macroeconomic stress, and diplomatic signaling through a canonical Region_Key, ARES advances conflict monitoring from reactive event cataloguing toward proactive early warning.</w:t>
      </w:r>
    </w:p>
    <w:p>
      <w:pPr>
        <w:spacing w:line="360" w:lineRule="auto" w:after="120"/>
        <w:jc w:val="both"/>
      </w:pPr>
      <w:r>
        <w:rPr>
          <w:rFonts w:ascii="Times New Roman" w:hAnsi="Times New Roman"/>
          <w:b w:val="0"/>
          <w:i w:val="0"/>
          <w:color w:val="000000"/>
          <w:sz w:val="24"/>
        </w:rPr>
        <w:t>Future Research Roadmap: (1) Executing the formal prospective backtesting protocol across documented Indo-Pacific crises (2020 Galwan, 2022 Taiwan, 2021 Myanmar); (2) Empirical probability calibration via Platt scaling or Isotonic Regression to output formal Bayesian posterior probabilities P(Escalation | X); and (3) Hybrid integration of Temporal Graph Networks (TGNs) for transnational actor-alliance dynamics.</w:t>
      </w:r>
    </w:p>
    <w:p>
      <w:pPr>
        <w:keepNext/>
        <w:pageBreakBefore/>
        <w:spacing w:before="360" w:after="160"/>
        <w:jc w:val="left"/>
      </w:pPr>
      <w:r>
        <w:rPr>
          <w:rFonts w:ascii="Times New Roman" w:hAnsi="Times New Roman"/>
          <w:b/>
          <w:color w:val="000000"/>
          <w:sz w:val="28"/>
        </w:rPr>
        <w:t>References</w:t>
      </w:r>
    </w:p>
    <w:p>
      <w:pPr>
        <w:spacing w:after="40" w:line="264" w:lineRule="auto"/>
        <w:ind w:left="432"/>
      </w:pPr>
      <w:r>
        <w:rPr>
          <w:rFonts w:ascii="Times New Roman" w:hAnsi="Times New Roman"/>
          <w:color w:val="000000"/>
          <w:sz w:val="18"/>
        </w:rPr>
        <w:t>[1] H. Hegre, M. Allansson, M. Basedau, M. Colaresi, M. Croicu, H. Fjelde, F. Hoyles, L. Hultman, S. Högbladh, R. Jansen, et al., 'ViEWS: A political violence early-warning system,' Journal of Peace Research, vol. 56, no. 2, pp. 155–174, 2019. DOI: 10.1177/0022343319823860.</w:t>
      </w:r>
    </w:p>
    <w:p>
      <w:pPr>
        <w:spacing w:after="40" w:line="264" w:lineRule="auto"/>
        <w:ind w:left="432"/>
      </w:pPr>
      <w:r>
        <w:rPr>
          <w:rFonts w:ascii="Times New Roman" w:hAnsi="Times New Roman"/>
          <w:color w:val="000000"/>
          <w:sz w:val="18"/>
        </w:rPr>
        <w:t>[2] H. Hegre, R. Jansen, H. M. Nygård, and J. Nordkvelle, 'Forecasting civil conflict along subnational lines: An ensemble approach,' Journal of Peace Research, vol. 55, no. 2, pp. 207–221, 2018. DOI: 10.1177/0022343317730953.</w:t>
      </w:r>
    </w:p>
    <w:p>
      <w:pPr>
        <w:spacing w:after="40" w:line="264" w:lineRule="auto"/>
        <w:ind w:left="432"/>
      </w:pPr>
      <w:r>
        <w:rPr>
          <w:rFonts w:ascii="Times New Roman" w:hAnsi="Times New Roman"/>
          <w:color w:val="000000"/>
          <w:sz w:val="18"/>
        </w:rPr>
        <w:t>[3] H. Hegre, M. Bernhard, and J. Teorell, 'Predicting armed conflict, 2010–2050,' International Studies Quarterly, vol. 63, no. 1, pp. 135–147, 2019. DOI: 10.1093/isq/sqy064.</w:t>
      </w:r>
    </w:p>
    <w:p>
      <w:pPr>
        <w:spacing w:after="40" w:line="264" w:lineRule="auto"/>
        <w:ind w:left="432"/>
      </w:pPr>
      <w:r>
        <w:rPr>
          <w:rFonts w:ascii="Times New Roman" w:hAnsi="Times New Roman"/>
          <w:color w:val="000000"/>
          <w:sz w:val="18"/>
        </w:rPr>
        <w:t>[4] M. D. Ward, N. W. Metternich, C. L. Dorff, M. Gallop, F. M. Hollenbach, A. Schultz, and S. Weschle, 'Predicting political instability using machine learning: An assessment of the ICEWS project,' International Studies Review, vol. 15, no. 4, pp. 521–538, 2013. DOI: 10.1111/misr.12089.</w:t>
      </w:r>
    </w:p>
    <w:p>
      <w:pPr>
        <w:spacing w:after="40" w:line="264" w:lineRule="auto"/>
        <w:ind w:left="432"/>
      </w:pPr>
      <w:r>
        <w:rPr>
          <w:rFonts w:ascii="Times New Roman" w:hAnsi="Times New Roman"/>
          <w:color w:val="000000"/>
          <w:sz w:val="18"/>
        </w:rPr>
        <w:t>[5] P. T. Brandt, J. R. Freeman, and P. A. Schrodt, 'Forecasting political conflict in space and time,' Journal of Conflict Resolution, vol. 60, no. 5, pp. 921–948, 2016. DOI: 10.1177/0022002714553109.</w:t>
      </w:r>
    </w:p>
    <w:p>
      <w:pPr>
        <w:spacing w:after="40" w:line="264" w:lineRule="auto"/>
        <w:ind w:left="432"/>
      </w:pPr>
      <w:r>
        <w:rPr>
          <w:rFonts w:ascii="Times New Roman" w:hAnsi="Times New Roman"/>
          <w:color w:val="000000"/>
          <w:sz w:val="18"/>
        </w:rPr>
        <w:t>[6] D. Muchlinski, D. Siroky, J. He, and M. Kocher, 'Comparing random forest with logistic regression for predicting class-imbalanced civil war onset data,' Political Analysis, vol. 24, no. 1, pp. 87–103, 2016. DOI: 10.1093/pan/mpv024.</w:t>
      </w:r>
    </w:p>
    <w:p>
      <w:pPr>
        <w:spacing w:after="40" w:line="264" w:lineRule="auto"/>
        <w:ind w:left="432"/>
      </w:pPr>
      <w:r>
        <w:rPr>
          <w:rFonts w:ascii="Times New Roman" w:hAnsi="Times New Roman"/>
          <w:color w:val="000000"/>
          <w:sz w:val="18"/>
        </w:rPr>
        <w:t>[7] C. Raleigh, A. Linke, H. Hegre, and J. Karlsen, 'Introducing ACLED: An armed conflict location and event dataset: Special data feature,' Journal of Peace Research, vol. 47, no. 5, pp. 651–660, 2010. DOI: 10.1177/0022343310378914.</w:t>
      </w:r>
    </w:p>
    <w:p>
      <w:pPr>
        <w:spacing w:after="40" w:line="264" w:lineRule="auto"/>
        <w:ind w:left="432"/>
      </w:pPr>
      <w:r>
        <w:rPr>
          <w:rFonts w:ascii="Times New Roman" w:hAnsi="Times New Roman"/>
          <w:color w:val="000000"/>
          <w:sz w:val="18"/>
        </w:rPr>
        <w:t>[8] K. Leetaru and P. A. Schrodt, 'GDELT: Global data on events, location, and tone, 1979–2012,' in ISA Annual Convention, vol. 2, no. 4, pp. 1–49, 2013.</w:t>
      </w:r>
    </w:p>
    <w:p>
      <w:pPr>
        <w:spacing w:after="40" w:line="264" w:lineRule="auto"/>
        <w:ind w:left="432"/>
      </w:pPr>
      <w:r>
        <w:rPr>
          <w:rFonts w:ascii="Times New Roman" w:hAnsi="Times New Roman"/>
          <w:color w:val="000000"/>
          <w:sz w:val="18"/>
        </w:rPr>
        <w:t>[9] E. Boschee, J. Lautenschlager, S. O'Brien, S. Shellman, J. Starz, and M. Ward, 'ICEWS Coded Event Data,' Harvard Dataverse, DOI: 10.7910/DVN/28075, 2015.</w:t>
      </w:r>
    </w:p>
    <w:p>
      <w:pPr>
        <w:spacing w:after="40" w:line="264" w:lineRule="auto"/>
        <w:ind w:left="432"/>
      </w:pPr>
      <w:r>
        <w:rPr>
          <w:rFonts w:ascii="Times New Roman" w:hAnsi="Times New Roman"/>
          <w:color w:val="000000"/>
          <w:sz w:val="18"/>
        </w:rPr>
        <w:t>[10] R. Sundberg and E. Melander, 'Introducing the UCDP georeferenced event dataset,' Journal of Peace Research, vol. 50, no. 4, pp. 523–532, 2013. DOI: 10.1177/0022343313484347.</w:t>
      </w:r>
    </w:p>
    <w:p>
      <w:pPr>
        <w:spacing w:after="40" w:line="264" w:lineRule="auto"/>
        <w:ind w:left="432"/>
      </w:pPr>
      <w:r>
        <w:rPr>
          <w:rFonts w:ascii="Times New Roman" w:hAnsi="Times New Roman"/>
          <w:color w:val="000000"/>
          <w:sz w:val="18"/>
        </w:rPr>
        <w:t>[11] N. P. Gleditsch, P. Wallensteen, M. Eriksson, M. Sollenberg, and H. Strand, 'Armed conflict 1946–2001: A new dataset,' Journal of Peace Research, vol. 39, no. 5, pp. 615–637, 2002.</w:t>
      </w:r>
    </w:p>
    <w:p>
      <w:pPr>
        <w:spacing w:after="40" w:line="264" w:lineRule="auto"/>
        <w:ind w:left="432"/>
      </w:pPr>
      <w:r>
        <w:rPr>
          <w:rFonts w:ascii="Times New Roman" w:hAnsi="Times New Roman"/>
          <w:color w:val="000000"/>
          <w:sz w:val="18"/>
        </w:rPr>
        <w:t>[12] S. Chojnacki, C. Ickler, S. Kroll, and T. Zeidler, 'Event data on armed conflict and security: New perspectives, old challenges, and some solutions,' International Interactions, vol. 38, no. 4, pp. 382–401, 2012.</w:t>
      </w:r>
    </w:p>
    <w:p>
      <w:pPr>
        <w:spacing w:after="40" w:line="264" w:lineRule="auto"/>
        <w:ind w:left="432"/>
      </w:pPr>
      <w:r>
        <w:rPr>
          <w:rFonts w:ascii="Times New Roman" w:hAnsi="Times New Roman"/>
          <w:color w:val="000000"/>
          <w:sz w:val="18"/>
        </w:rPr>
        <w:t>[13] E. Rossi, B. Zhou, F. Monti, F. Frasca, D. Fabozzi, and M. M. Bronstein, 'Temporal graph networks for deep learning on dynamic graphs,' arXiv preprint arXiv:2006.10637, 2020.</w:t>
      </w:r>
    </w:p>
    <w:p>
      <w:pPr>
        <w:spacing w:after="40" w:line="264" w:lineRule="auto"/>
        <w:ind w:left="432"/>
      </w:pPr>
      <w:r>
        <w:rPr>
          <w:rFonts w:ascii="Times New Roman" w:hAnsi="Times New Roman"/>
          <w:color w:val="000000"/>
          <w:sz w:val="18"/>
        </w:rPr>
        <w:t>[14] A. Pareja, G. Domeniconi, J. Chen, T. Teng, T. Wang, C.-C. Kuo, P. Patel, X. Liang, Y. Li, et al., 'EvolveGCN: Evolving graph convolutional networks for dynamic graphs,' in Proceedings of the AAAI Conference on Artificial Intelligence, vol. 34, no. 04, pp. 5363–5370, 2020.</w:t>
      </w:r>
    </w:p>
    <w:p>
      <w:pPr>
        <w:spacing w:after="40" w:line="264" w:lineRule="auto"/>
        <w:ind w:left="432"/>
      </w:pPr>
      <w:r>
        <w:rPr>
          <w:rFonts w:ascii="Times New Roman" w:hAnsi="Times New Roman"/>
          <w:color w:val="000000"/>
          <w:sz w:val="18"/>
        </w:rPr>
        <w:t>[15] R. Trivedi, M. Farajtabar, P. Biswal, and H. Zha, 'DyRep: Learning representations over dynamic graphs,' in International Conference on Machine Learning (ICML), pp. 6309–6317, 2019.</w:t>
      </w:r>
    </w:p>
    <w:p>
      <w:pPr>
        <w:spacing w:after="40" w:line="264" w:lineRule="auto"/>
        <w:ind w:left="432"/>
      </w:pPr>
      <w:r>
        <w:rPr>
          <w:rFonts w:ascii="Times New Roman" w:hAnsi="Times New Roman"/>
          <w:color w:val="000000"/>
          <w:sz w:val="18"/>
        </w:rPr>
        <w:t>[16] R. Trivedi, H. Dai, Y. Wang, and L. Song, 'Know-evolve: Deep temporal reasoning for dynamic knowledge graphs,' in International Conference on Machine Learning (ICML), pp. 3462–3471, 2017.</w:t>
      </w:r>
    </w:p>
    <w:p>
      <w:pPr>
        <w:spacing w:after="40" w:line="264" w:lineRule="auto"/>
        <w:ind w:left="432"/>
      </w:pPr>
      <w:r>
        <w:rPr>
          <w:rFonts w:ascii="Times New Roman" w:hAnsi="Times New Roman"/>
          <w:color w:val="000000"/>
          <w:sz w:val="18"/>
        </w:rPr>
        <w:t>[17] Y. Ma, V. Tresp, S. Baier, et al., 'Event forecasting with graph neural networks: A survey and benchmark,' ACM Computing Surveys, vol. 55, no. 13, pp. 1–38, 2023.</w:t>
      </w:r>
    </w:p>
    <w:p>
      <w:pPr>
        <w:spacing w:after="40" w:line="264" w:lineRule="auto"/>
        <w:ind w:left="432"/>
      </w:pPr>
      <w:r>
        <w:rPr>
          <w:rFonts w:ascii="Times New Roman" w:hAnsi="Times New Roman"/>
          <w:color w:val="000000"/>
          <w:sz w:val="18"/>
        </w:rPr>
        <w:t>[18] G. M. Campedelli, I. Cruickshank, and K. M. Carley, 'Learning future terrorist targets through temporal meta-graphs,' Artificial Intelligence and Law, vol. 29, no. 4, pp. 461–489, 2021.</w:t>
      </w:r>
    </w:p>
    <w:p>
      <w:pPr>
        <w:spacing w:after="40" w:line="264" w:lineRule="auto"/>
        <w:ind w:left="432"/>
      </w:pPr>
      <w:r>
        <w:rPr>
          <w:rFonts w:ascii="Times New Roman" w:hAnsi="Times New Roman"/>
          <w:color w:val="000000"/>
          <w:sz w:val="18"/>
        </w:rPr>
        <w:t>[19] T. Hossain, P. Butler, and N. Ramakrishnan, 'Identifying precursors to geopolitical events using attention networks on dynamic news streams,' in Proceedings of the AAAI Conference on Artificial Intelligence, vol. 37, pp. 14234–14242, 2023.</w:t>
      </w:r>
    </w:p>
    <w:p>
      <w:pPr>
        <w:spacing w:after="40" w:line="264" w:lineRule="auto"/>
        <w:ind w:left="432"/>
      </w:pPr>
      <w:r>
        <w:rPr>
          <w:rFonts w:ascii="Times New Roman" w:hAnsi="Times New Roman"/>
          <w:color w:val="000000"/>
          <w:sz w:val="18"/>
        </w:rPr>
        <w:t>[20] T. N. Kipf and M. Welling, 'Semi-supervised classification with graph convolutional networks,' in International Conference on Learning Representations (ICLR), 2017.</w:t>
      </w:r>
    </w:p>
    <w:p>
      <w:pPr>
        <w:spacing w:after="40" w:line="264" w:lineRule="auto"/>
        <w:ind w:left="432"/>
      </w:pPr>
      <w:r>
        <w:rPr>
          <w:rFonts w:ascii="Times New Roman" w:hAnsi="Times New Roman"/>
          <w:color w:val="000000"/>
          <w:sz w:val="18"/>
        </w:rPr>
        <w:t>[21] P. Veličković, G. Cucurull, A. Casanova, A. Romero, P. Liò, and Y. Bengio, 'Graph Attention Networks,' in International Conference on Learning Representations (ICLR), 2018.</w:t>
      </w:r>
    </w:p>
    <w:p>
      <w:pPr>
        <w:spacing w:after="40" w:line="264" w:lineRule="auto"/>
        <w:ind w:left="432"/>
      </w:pPr>
      <w:r>
        <w:rPr>
          <w:rFonts w:ascii="Times New Roman" w:hAnsi="Times New Roman"/>
          <w:color w:val="000000"/>
          <w:sz w:val="18"/>
        </w:rPr>
        <w:t>[22] D. Xu, C. Ruan, E. Korpeoglu, S. Kumar, and K. Achan, 'Inductive representation learning on temporal graphs,' in International Conference on Learning Representations (ICLR), 2020.</w:t>
      </w:r>
    </w:p>
    <w:p>
      <w:pPr>
        <w:spacing w:after="40" w:line="264" w:lineRule="auto"/>
        <w:ind w:left="432"/>
      </w:pPr>
      <w:r>
        <w:rPr>
          <w:rFonts w:ascii="Times New Roman" w:hAnsi="Times New Roman"/>
          <w:color w:val="000000"/>
          <w:sz w:val="18"/>
        </w:rPr>
        <w:t>[23] J. Devlin, M.-W. Chang, K. Lee, and K. Toutanova, 'BERT: Pre-training of deep bidirectional transformers for language understanding,' in Proceedings of NAACL-HLT, pp. 4171–4186, 2019.</w:t>
      </w:r>
    </w:p>
    <w:p>
      <w:pPr>
        <w:spacing w:after="40" w:line="264" w:lineRule="auto"/>
        <w:ind w:left="432"/>
      </w:pPr>
      <w:r>
        <w:rPr>
          <w:rFonts w:ascii="Times New Roman" w:hAnsi="Times New Roman"/>
          <w:color w:val="000000"/>
          <w:sz w:val="18"/>
        </w:rPr>
        <w:t>[24] Y. Liu, M. Ott, N. Goyal, J. Du, M. Joshi, D. Chen, O. Levy, M. Lewis, L. Zettlemoyer, and V. Stoyanov, 'RoBERTa: A robustly optimized BERT pretraining approach,' arXiv preprint arXiv:1907.11692, 2019.</w:t>
      </w:r>
    </w:p>
    <w:p>
      <w:pPr>
        <w:spacing w:after="40" w:line="264" w:lineRule="auto"/>
        <w:ind w:left="432"/>
      </w:pPr>
      <w:r>
        <w:rPr>
          <w:rFonts w:ascii="Times New Roman" w:hAnsi="Times New Roman"/>
          <w:color w:val="000000"/>
          <w:sz w:val="18"/>
        </w:rPr>
        <w:t>[25] V. Sanh, L. Debut, J. Chaumond, and T. Wolf, 'DistilBERT, a distilled version of BERT: smaller, faster, cheaper and lighter,' in NeurIPS Workshop on Energy Efficient Machine Learning, 2019.</w:t>
      </w:r>
    </w:p>
    <w:p>
      <w:pPr>
        <w:spacing w:after="40" w:line="264" w:lineRule="auto"/>
        <w:ind w:left="432"/>
      </w:pPr>
      <w:r>
        <w:rPr>
          <w:rFonts w:ascii="Times New Roman" w:hAnsi="Times New Roman"/>
          <w:color w:val="000000"/>
          <w:sz w:val="18"/>
        </w:rPr>
        <w:t>[26] C. Banea, R. Mihalcea, and J. Wiebe, 'Multilingual sentiment analysis for news streams,' in Proceedings of the Annual Meeting of the Association for Computational Linguistics (ACL), pp. 512–522, 2014.</w:t>
      </w:r>
    </w:p>
    <w:p>
      <w:pPr>
        <w:spacing w:after="40" w:line="264" w:lineRule="auto"/>
        <w:ind w:left="432"/>
      </w:pPr>
      <w:r>
        <w:rPr>
          <w:rFonts w:ascii="Times New Roman" w:hAnsi="Times New Roman"/>
          <w:color w:val="000000"/>
          <w:sz w:val="18"/>
        </w:rPr>
        <w:t>[27] C. Hutto and E. Gilbert, 'VADER: A parsimonious rule-based model for sentiment analysis of social media text,' in Proceedings of the International AAAI Conference on Web and Social Media (ICWSM), vol. 8, no. 1, pp. 216–225, 2014.</w:t>
      </w:r>
    </w:p>
    <w:p>
      <w:pPr>
        <w:spacing w:after="40" w:line="264" w:lineRule="auto"/>
        <w:ind w:left="432"/>
      </w:pPr>
      <w:r>
        <w:rPr>
          <w:rFonts w:ascii="Times New Roman" w:hAnsi="Times New Roman"/>
          <w:color w:val="000000"/>
          <w:sz w:val="18"/>
        </w:rPr>
        <w:t>[28] A. Vaswani, N. Shazeer, N. Parmar, J. Uszkoreit, L. Jones, A. N. Gomez, Ł. Kaiser, and I. Polosukhin, 'Attention is all you need,' in Advances in Neural Information Processing Systems (NeurIPS), vol. 30, pp. 5998–6008, 2017.</w:t>
      </w:r>
    </w:p>
    <w:p>
      <w:pPr>
        <w:spacing w:after="40" w:line="264" w:lineRule="auto"/>
        <w:ind w:left="432"/>
      </w:pPr>
      <w:r>
        <w:rPr>
          <w:rFonts w:ascii="Times New Roman" w:hAnsi="Times New Roman"/>
          <w:color w:val="000000"/>
          <w:sz w:val="18"/>
        </w:rPr>
        <w:t>[29] A. Radford, J. Wu, R. Child, D. Luan, D. Amodei, and I. Sutskever, 'Language models are unsupervised multitask learners,' OpenAI Technical Report, 2019.</w:t>
      </w:r>
    </w:p>
    <w:p>
      <w:pPr>
        <w:spacing w:after="40" w:line="264" w:lineRule="auto"/>
        <w:ind w:left="432"/>
      </w:pPr>
      <w:r>
        <w:rPr>
          <w:rFonts w:ascii="Times New Roman" w:hAnsi="Times New Roman"/>
          <w:color w:val="000000"/>
          <w:sz w:val="18"/>
        </w:rPr>
        <w:t>[30] N. Reimers and I. Gurevych, 'Sentence-BERT: Sentence embeddings using Siamese BERT-networks,' in Proceedings of EMNLP-IJCNLP, pp. 3982–3992, 2019.</w:t>
      </w:r>
    </w:p>
    <w:p>
      <w:pPr>
        <w:spacing w:after="40" w:line="264" w:lineRule="auto"/>
        <w:ind w:left="432"/>
      </w:pPr>
      <w:r>
        <w:rPr>
          <w:rFonts w:ascii="Times New Roman" w:hAnsi="Times New Roman"/>
          <w:color w:val="000000"/>
          <w:sz w:val="18"/>
        </w:rPr>
        <w:t>[31] B. Lim, S. Ö. Arık, N. Loeff, and T. Pfister, 'Temporal Fusion Transformers for interpretable multi-horizon time series forecasting,' International Journal of Forecasting, vol. 37, no. 4, pp. 1748–1764, 2021. DOI: 10.1016/j.ijforecast.2021.03.012.</w:t>
      </w:r>
    </w:p>
    <w:p>
      <w:pPr>
        <w:spacing w:after="40" w:line="264" w:lineRule="auto"/>
        <w:ind w:left="432"/>
      </w:pPr>
      <w:r>
        <w:rPr>
          <w:rFonts w:ascii="Times New Roman" w:hAnsi="Times New Roman"/>
          <w:color w:val="000000"/>
          <w:sz w:val="18"/>
        </w:rPr>
        <w:t>[32] D. Salinas, V. Flunkert, J. Gasthaus, and T. Januschowski, 'DeepAR: Probabilistic forecasting with autoregressive recurrent networks,' International Journal of Forecasting, vol. 36, no. 3, pp. 1181–1191, 2020. DOI: 10.1016/j.ijforecast.2019.07.001.</w:t>
      </w:r>
    </w:p>
    <w:p>
      <w:pPr>
        <w:spacing w:after="40" w:line="264" w:lineRule="auto"/>
        <w:ind w:left="432"/>
      </w:pPr>
      <w:r>
        <w:rPr>
          <w:rFonts w:ascii="Times New Roman" w:hAnsi="Times New Roman"/>
          <w:color w:val="000000"/>
          <w:sz w:val="18"/>
        </w:rPr>
        <w:t>[33] G. Zerveas, S. Jayaraman, D. Patel, A. Bhamidipaty, and C. Eickhoff, 'A transformer-based framework for multivariate time series representation learning,' in Proceedings of the 27th ACM SIGKDD Conference on Knowledge Discovery &amp; Data Mining, pp. 2114–2124, 2021.</w:t>
      </w:r>
    </w:p>
    <w:p>
      <w:pPr>
        <w:spacing w:after="40" w:line="264" w:lineRule="auto"/>
        <w:ind w:left="432"/>
      </w:pPr>
      <w:r>
        <w:rPr>
          <w:rFonts w:ascii="Times New Roman" w:hAnsi="Times New Roman"/>
          <w:color w:val="000000"/>
          <w:sz w:val="18"/>
        </w:rPr>
        <w:t>[34] F. T. Liu, K. M. Ting, and Z.-H. Zhou, 'Isolation forest,' in 2008 Eighth IEEE International Conference on Data Mining (ICDM), pp. 413–422, 2008. DOI: 10.1109/ICDM.2008.17.</w:t>
      </w:r>
    </w:p>
    <w:p>
      <w:pPr>
        <w:spacing w:after="40" w:line="264" w:lineRule="auto"/>
        <w:ind w:left="432"/>
      </w:pPr>
      <w:r>
        <w:rPr>
          <w:rFonts w:ascii="Times New Roman" w:hAnsi="Times New Roman"/>
          <w:color w:val="000000"/>
          <w:sz w:val="18"/>
        </w:rPr>
        <w:t>[35] K. J. Mach, C. M. Kraan, W. N. Adger, H. Buhaug, M. Burke, J. D. Fearon, C. B. Field, C. S. Hendrix, J.-F. Maystadt, J. O'Loughlin, et al., 'Climate as a risk factor for armed conflict,' Nature, vol. 571, no. 7764, pp. 193–197, 2019. DOI: 10.1038/s41586-019-1300-6.</w:t>
      </w:r>
    </w:p>
    <w:p>
      <w:pPr>
        <w:spacing w:after="40" w:line="264" w:lineRule="auto"/>
        <w:ind w:left="432"/>
      </w:pPr>
      <w:r>
        <w:rPr>
          <w:rFonts w:ascii="Times New Roman" w:hAnsi="Times New Roman"/>
          <w:color w:val="000000"/>
          <w:sz w:val="18"/>
        </w:rPr>
        <w:t>[36] S. M. Hsiang, M. Burke, and E. Miguel, 'Quantifying the influence of climate on human conflict,' Science, vol. 341, no. 6151, p. 1235367, 2013. DOI: 10.1126/science.1235367.</w:t>
      </w:r>
    </w:p>
    <w:p>
      <w:pPr>
        <w:spacing w:after="40" w:line="264" w:lineRule="auto"/>
        <w:ind w:left="432"/>
      </w:pPr>
      <w:r>
        <w:rPr>
          <w:rFonts w:ascii="Times New Roman" w:hAnsi="Times New Roman"/>
          <w:color w:val="000000"/>
          <w:sz w:val="18"/>
        </w:rPr>
        <w:t>[37] M. Burke, S. M. Hsiang, and E. Miguel, 'Global non-linear effect of temperature on economic production,' Nature, vol. 527, no. 7577, pp. 235–239, 2015. DOI: 10.1038/nature15725.</w:t>
      </w:r>
    </w:p>
    <w:p>
      <w:pPr>
        <w:spacing w:after="40" w:line="264" w:lineRule="auto"/>
        <w:ind w:left="432"/>
      </w:pPr>
      <w:r>
        <w:rPr>
          <w:rFonts w:ascii="Times New Roman" w:hAnsi="Times New Roman"/>
          <w:color w:val="000000"/>
          <w:sz w:val="18"/>
        </w:rPr>
        <w:t>[38] E. Miguel, S. Satyanath, and E. Sergenti, 'Economic shocks and civil conflict: An instrumental variables approach,' Journal of Political Economy, vol. 112, no. 4, pp. 725–753, 2004. DOI: 10.1086/421174.</w:t>
      </w:r>
    </w:p>
    <w:p>
      <w:pPr>
        <w:spacing w:after="40" w:line="264" w:lineRule="auto"/>
        <w:ind w:left="432"/>
      </w:pPr>
      <w:r>
        <w:rPr>
          <w:rFonts w:ascii="Times New Roman" w:hAnsi="Times New Roman"/>
          <w:color w:val="000000"/>
          <w:sz w:val="18"/>
        </w:rPr>
        <w:t>[39] P. Collier and A. Hoeffler, 'Greed and grievance in civil war,' Oxford Economic Papers, vol. 56, no. 4, pp. 563–595, 2004. DOI: 10.1093/oep/gpf064.</w:t>
      </w:r>
    </w:p>
    <w:p>
      <w:pPr>
        <w:spacing w:after="40" w:line="264" w:lineRule="auto"/>
        <w:ind w:left="432"/>
      </w:pPr>
      <w:r>
        <w:rPr>
          <w:rFonts w:ascii="Times New Roman" w:hAnsi="Times New Roman"/>
          <w:color w:val="000000"/>
          <w:sz w:val="18"/>
        </w:rPr>
        <w:t>[40] J. D. Fearon and D. D. Laitin, 'Ethnicity, insurgency, and civil war,' American Political Science Review, vol. 97, no. 1, pp. 75–90, 2003. DOI: 10.1017/S0003055403000534.</w:t>
      </w:r>
    </w:p>
    <w:p>
      <w:pPr>
        <w:spacing w:after="40" w:line="264" w:lineRule="auto"/>
        <w:ind w:left="432"/>
      </w:pPr>
      <w:r>
        <w:rPr>
          <w:rFonts w:ascii="Times New Roman" w:hAnsi="Times New Roman"/>
          <w:color w:val="000000"/>
          <w:sz w:val="18"/>
        </w:rPr>
        <w:t>[41] B. Schölkopf, F. Locatello, S. Bauer, N. R. Ke, N. Kalchbrenner, A. Goyal, and Y. Bengio, 'Toward causal representation learning,' Proceedings of the IEEE, vol. 109, no. 5, pp. 612–634, 2021. DOI: 10.1109/JPROC.2021.3058954.</w:t>
      </w:r>
    </w:p>
    <w:p>
      <w:pPr>
        <w:spacing w:after="40" w:line="264" w:lineRule="auto"/>
        <w:ind w:left="432"/>
      </w:pPr>
      <w:r>
        <w:rPr>
          <w:rFonts w:ascii="Times New Roman" w:hAnsi="Times New Roman"/>
          <w:color w:val="000000"/>
          <w:sz w:val="18"/>
        </w:rPr>
        <w:t>[42] S. Athey and G. W. Imbens, 'Machine learning methods that economists should know for estimating heterogeneous causal effects,' Journal of Economic Perspectives, vol. 36, no. 3, pp. 31–54, 2022. DOI: 10.1257/jep.36.3.31.</w:t>
      </w:r>
    </w:p>
    <w:sectPr w:rsidR="00FC693F" w:rsidRPr="0006063C" w:rsidSect="00034616">
      <w:footerReference w:type="default" r:id="rId9"/>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