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星云金融科技 · 反欺诈策略与案例库</w:t>
      </w:r>
    </w:p>
    <w:p>
      <w:r>
        <w:t>一、常见欺诈类型</w:t>
      </w:r>
    </w:p>
    <w:p>
      <w:r>
        <w:t>1. 盗刷：他人冒用持卡人信息进行支付。</w:t>
      </w:r>
    </w:p>
    <w:p>
      <w:r>
        <w:t>2. 伪卡：复制卡片磁条/芯片信息进行交易。</w:t>
      </w:r>
    </w:p>
    <w:p>
      <w:r>
        <w:t>3. 钓鱼：诱导用户泄露密码、验证码。</w:t>
      </w:r>
    </w:p>
    <w:p>
      <w:r>
        <w:t>4. 商户套现：虚假交易套取现金。</w:t>
      </w:r>
    </w:p>
    <w:p>
      <w:r>
        <w:t>5. 账户盗用：盗取账户后发起转账。</w:t>
      </w:r>
    </w:p>
    <w:p>
      <w:r>
        <w:t>二、反欺诈规则</w:t>
      </w:r>
    </w:p>
    <w:p>
      <w:r>
        <w:t>1. 新设备首次交易金额超过 1000 元，需二次验证。</w:t>
      </w:r>
    </w:p>
    <w:p>
      <w:r>
        <w:t>2. 同一设备当日关联超过 3 个账户，触发风控。</w:t>
      </w:r>
    </w:p>
    <w:p>
      <w:r>
        <w:t>3. 商户当日交易笔数超过 50 笔，自动进入人工审核。</w:t>
      </w:r>
    </w:p>
    <w:p>
      <w:r>
        <w:t>4. 交易 IP 命中代理/高风险地区，提高验证等级。</w:t>
      </w:r>
    </w:p>
    <w:p>
      <w:r>
        <w:t>三、案例处置</w:t>
      </w:r>
    </w:p>
    <w:p>
      <w:r>
        <w:t>案例：某商户 1 小时内产生 80 笔等额交易，触发套现规则。</w:t>
      </w:r>
    </w:p>
    <w:p>
      <w:r>
        <w:t>处置：冻结商户结算，要求提供交易凭证，调查完成后解冻。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