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11  |  към чл. 7, ал. 3, т. 11</w:t>
      </w:r>
    </w:p>
    <w:p w:rsidR="003B443C" w:rsidRDefault="009B14C4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3B443C" w:rsidRDefault="009B14C4">
      <w:pPr>
        <w:spacing w:before="4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spacing w:before="40" w:after="160"/>
        <w:jc w:val="center"/>
      </w:pPr>
      <w:r w:rsidRPr="00973034">
        <w:rPr>
          <w:rFonts w:ascii="Garamond" w:eastAsia="Garamond" w:hAnsi="Garamond" w:cs="Garamond"/>
          <w:color w:val="2D3561"/>
        </w:rPr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ЕИК {{Строител_ЕИК}}, представлявано от {{Строител_Управител}}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{{Строител_Управител}} — представител на {{Строител_Фирма}}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</w:t>
      </w:r>
      <w:r>
        <w:rPr>
          <w:rFonts w:ascii="Garamond" w:eastAsia="Garamond" w:hAnsi="Garamond" w:cs="Garamond"/>
          <w:color w:val="1F2937"/>
          <w:sz w:val="24"/>
          <w:szCs w:val="24"/>
        </w:rPr>
        <w:t>ехнически ръководител: {{Строител_ТехРък}}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Проектант: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{{Проектанти_Списък}}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Строителен надзор: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{{Консултант_Управител}} — Управител на {{Консултант_Фирма}}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Възложителя: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{{Възложител_Блок}}</w:t>
      </w:r>
    </w:p>
    <w:p w:rsidR="003B443C" w:rsidRDefault="003B443C"/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на ...................................... г. състоянието на строежа е: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проекти, експертизи: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Други изисквания и мерки при продъ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лжаване на строителството: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Проектанти: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sectPr w:rsidR="003B443C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97303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97303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