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6  |  към чл. 7, ал. 3, т. 6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приемане на земната основа и действителните коти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на извършените изкопни работи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1. {{Строител_ТехРък}} — технически ръководител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2. {{СН_Конструктивна}} — СН по част Конструктивна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инж. ________________ — СН по част Геология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4. {{constructor_name}} — проектант по част Конструктивна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оглед на земната основа в извършения изкоп, се запознахме с резултатите от лабораторните и полеви изследвания на почвите и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1. Почва в земната основа: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а)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б)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2. Действителни коти на изпълнените изкопни работи: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(от геодезическо заснемане)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3. Различия от инженерно-геоложките проучвания: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Във връзка с тези констатации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/>
          <w:bCs/>
          <w:i w:val="false"/>
          <w:iCs w:val="false"/>
          <w:color w:val="1F2937"/>
          <w:sz w:val="24"/>
          <w:szCs w:val="24"/>
        </w:rPr>
        <w:t xml:space="preserve">Предписваме: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 СН Конструктивна: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({{СН_Конструктивна}})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3. СН Геология: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(________________)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4. Проектант Конструктивна: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({{constructor_name}})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2026-04-23T13:04:14.209Z</dcterms:created>
  <dcterms:modified xsi:type="dcterms:W3CDTF">2026-04-23T13:04:14.209Z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